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77777777" w:rsidR="00066D69" w:rsidRPr="00B25793" w:rsidRDefault="00BD5FB9"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B25793">
        <w:rPr>
          <w:rFonts w:ascii="Tahoma" w:hAnsi="Tahoma" w:cs="Tahoma"/>
          <w:b/>
          <w:bCs/>
          <w:sz w:val="22"/>
          <w:szCs w:val="22"/>
        </w:rPr>
        <w:t>Název příspěvkové organizace</w:t>
      </w:r>
    </w:p>
    <w:p w14:paraId="64D3E504" w14:textId="77777777" w:rsidR="00115763" w:rsidRPr="00115763" w:rsidRDefault="00115763" w:rsidP="00115763">
      <w:pPr>
        <w:pStyle w:val="Odstavecseseznamem"/>
        <w:numPr>
          <w:ilvl w:val="12"/>
          <w:numId w:val="1"/>
        </w:numPr>
        <w:tabs>
          <w:tab w:val="left" w:pos="720"/>
          <w:tab w:val="left" w:pos="3119"/>
        </w:tabs>
        <w:ind w:hanging="436"/>
        <w:jc w:val="both"/>
        <w:rPr>
          <w:rFonts w:ascii="Tahoma" w:eastAsia="Times New Roman" w:hAnsi="Tahoma" w:cs="Tahoma"/>
          <w:lang w:eastAsia="cs-CZ"/>
        </w:rPr>
      </w:pPr>
      <w:r w:rsidRPr="00115763">
        <w:rPr>
          <w:rFonts w:ascii="Tahoma" w:eastAsia="Times New Roman" w:hAnsi="Tahoma" w:cs="Tahoma"/>
          <w:lang w:eastAsia="cs-CZ"/>
        </w:rPr>
        <w:t>se sídlem:</w:t>
      </w:r>
      <w:r w:rsidRPr="00115763">
        <w:rPr>
          <w:rFonts w:ascii="Tahoma" w:eastAsia="Times New Roman" w:hAnsi="Tahoma" w:cs="Tahoma"/>
          <w:lang w:eastAsia="cs-CZ"/>
        </w:rPr>
        <w:tab/>
        <w:t>Křižíkova 1258, 744 01 Frenštát pod Radhoštěm</w:t>
      </w:r>
    </w:p>
    <w:p w14:paraId="3005B3F4" w14:textId="77777777" w:rsidR="00115763" w:rsidRPr="00115763" w:rsidRDefault="00115763" w:rsidP="00115763">
      <w:pPr>
        <w:pStyle w:val="Odstavecseseznamem"/>
        <w:numPr>
          <w:ilvl w:val="12"/>
          <w:numId w:val="1"/>
        </w:numPr>
        <w:tabs>
          <w:tab w:val="left" w:pos="720"/>
          <w:tab w:val="left" w:pos="3119"/>
        </w:tabs>
        <w:ind w:hanging="436"/>
        <w:jc w:val="both"/>
        <w:rPr>
          <w:rFonts w:ascii="Tahoma" w:eastAsia="Times New Roman" w:hAnsi="Tahoma" w:cs="Tahoma"/>
          <w:lang w:eastAsia="cs-CZ"/>
        </w:rPr>
      </w:pPr>
      <w:r w:rsidRPr="00115763">
        <w:rPr>
          <w:rFonts w:ascii="Tahoma" w:eastAsia="Times New Roman" w:hAnsi="Tahoma" w:cs="Tahoma"/>
          <w:lang w:eastAsia="cs-CZ"/>
        </w:rPr>
        <w:t>zastoupen:</w:t>
      </w:r>
      <w:r w:rsidRPr="00115763">
        <w:rPr>
          <w:rFonts w:ascii="Tahoma" w:eastAsia="Times New Roman" w:hAnsi="Tahoma" w:cs="Tahoma"/>
          <w:lang w:eastAsia="cs-CZ"/>
        </w:rPr>
        <w:tab/>
        <w:t>Mgr. Richard Štěpán, ředitel</w:t>
      </w:r>
    </w:p>
    <w:p w14:paraId="65D567E3" w14:textId="77777777" w:rsidR="00115763" w:rsidRPr="00115763" w:rsidRDefault="00115763" w:rsidP="00115763">
      <w:pPr>
        <w:pStyle w:val="Odstavecseseznamem"/>
        <w:numPr>
          <w:ilvl w:val="12"/>
          <w:numId w:val="1"/>
        </w:numPr>
        <w:tabs>
          <w:tab w:val="left" w:pos="720"/>
          <w:tab w:val="left" w:pos="3119"/>
        </w:tabs>
        <w:ind w:hanging="436"/>
        <w:jc w:val="both"/>
        <w:rPr>
          <w:rFonts w:ascii="Tahoma" w:eastAsia="Times New Roman" w:hAnsi="Tahoma" w:cs="Tahoma"/>
          <w:lang w:eastAsia="cs-CZ"/>
        </w:rPr>
      </w:pPr>
      <w:r w:rsidRPr="00115763">
        <w:rPr>
          <w:rFonts w:ascii="Tahoma" w:eastAsia="Times New Roman" w:hAnsi="Tahoma" w:cs="Tahoma"/>
          <w:lang w:eastAsia="cs-CZ"/>
        </w:rPr>
        <w:t>IČO:</w:t>
      </w:r>
      <w:r w:rsidRPr="00115763">
        <w:rPr>
          <w:rFonts w:ascii="Tahoma" w:eastAsia="Times New Roman" w:hAnsi="Tahoma" w:cs="Tahoma"/>
          <w:lang w:eastAsia="cs-CZ"/>
        </w:rPr>
        <w:tab/>
        <w:t>00601659</w:t>
      </w:r>
    </w:p>
    <w:p w14:paraId="46FF5DE9" w14:textId="77777777" w:rsidR="00115763" w:rsidRPr="00115763" w:rsidRDefault="00115763" w:rsidP="00115763">
      <w:pPr>
        <w:pStyle w:val="Odstavecseseznamem"/>
        <w:numPr>
          <w:ilvl w:val="12"/>
          <w:numId w:val="1"/>
        </w:numPr>
        <w:tabs>
          <w:tab w:val="left" w:pos="720"/>
          <w:tab w:val="left" w:pos="3119"/>
        </w:tabs>
        <w:ind w:hanging="436"/>
        <w:jc w:val="both"/>
        <w:rPr>
          <w:rFonts w:ascii="Tahoma" w:eastAsia="Times New Roman" w:hAnsi="Tahoma" w:cs="Tahoma"/>
          <w:lang w:eastAsia="cs-CZ"/>
        </w:rPr>
      </w:pPr>
      <w:r w:rsidRPr="00115763">
        <w:rPr>
          <w:rFonts w:ascii="Tahoma" w:eastAsia="Times New Roman" w:hAnsi="Tahoma" w:cs="Tahoma"/>
          <w:lang w:eastAsia="cs-CZ"/>
        </w:rPr>
        <w:t>DIČ:</w:t>
      </w:r>
      <w:r w:rsidRPr="00115763">
        <w:rPr>
          <w:rFonts w:ascii="Tahoma" w:eastAsia="Times New Roman" w:hAnsi="Tahoma" w:cs="Tahoma"/>
          <w:lang w:eastAsia="cs-CZ"/>
        </w:rPr>
        <w:tab/>
        <w:t>CZ00601659</w:t>
      </w:r>
    </w:p>
    <w:p w14:paraId="4DC28371" w14:textId="77777777" w:rsidR="00115763" w:rsidRPr="00115763" w:rsidRDefault="00115763" w:rsidP="00115763">
      <w:pPr>
        <w:pStyle w:val="Odstavecseseznamem"/>
        <w:numPr>
          <w:ilvl w:val="12"/>
          <w:numId w:val="1"/>
        </w:numPr>
        <w:tabs>
          <w:tab w:val="left" w:pos="720"/>
          <w:tab w:val="left" w:pos="3119"/>
        </w:tabs>
        <w:ind w:hanging="436"/>
        <w:jc w:val="both"/>
        <w:rPr>
          <w:rFonts w:ascii="Tahoma" w:eastAsia="Times New Roman" w:hAnsi="Tahoma" w:cs="Tahoma"/>
          <w:lang w:eastAsia="cs-CZ"/>
        </w:rPr>
      </w:pPr>
      <w:r w:rsidRPr="00115763">
        <w:rPr>
          <w:rFonts w:ascii="Tahoma" w:eastAsia="Times New Roman" w:hAnsi="Tahoma" w:cs="Tahoma"/>
          <w:lang w:eastAsia="cs-CZ"/>
        </w:rPr>
        <w:t>bankovní spojení:</w:t>
      </w:r>
      <w:r w:rsidRPr="00115763">
        <w:rPr>
          <w:rFonts w:ascii="Tahoma" w:eastAsia="Times New Roman" w:hAnsi="Tahoma" w:cs="Tahoma"/>
          <w:lang w:eastAsia="cs-CZ"/>
        </w:rPr>
        <w:tab/>
      </w:r>
      <w:proofErr w:type="spellStart"/>
      <w:r w:rsidRPr="00115763">
        <w:rPr>
          <w:rFonts w:ascii="Tahoma" w:eastAsia="Times New Roman" w:hAnsi="Tahoma" w:cs="Tahoma"/>
          <w:lang w:eastAsia="cs-CZ"/>
        </w:rPr>
        <w:t>UniCredit</w:t>
      </w:r>
      <w:proofErr w:type="spellEnd"/>
      <w:r w:rsidRPr="00115763">
        <w:rPr>
          <w:rFonts w:ascii="Tahoma" w:eastAsia="Times New Roman" w:hAnsi="Tahoma" w:cs="Tahoma"/>
          <w:lang w:eastAsia="cs-CZ"/>
        </w:rPr>
        <w:t xml:space="preserve"> Bank Czech Republic, a.s.</w:t>
      </w:r>
    </w:p>
    <w:p w14:paraId="3A39710D" w14:textId="77777777" w:rsidR="00115763" w:rsidRPr="00115763" w:rsidRDefault="00115763" w:rsidP="00115763">
      <w:pPr>
        <w:pStyle w:val="Odstavecseseznamem"/>
        <w:numPr>
          <w:ilvl w:val="12"/>
          <w:numId w:val="1"/>
        </w:numPr>
        <w:tabs>
          <w:tab w:val="left" w:pos="720"/>
          <w:tab w:val="left" w:pos="3119"/>
        </w:tabs>
        <w:ind w:hanging="436"/>
        <w:jc w:val="both"/>
        <w:rPr>
          <w:rFonts w:ascii="Tahoma" w:eastAsia="Times New Roman" w:hAnsi="Tahoma" w:cs="Tahoma"/>
          <w:lang w:eastAsia="cs-CZ"/>
        </w:rPr>
      </w:pPr>
      <w:r w:rsidRPr="00115763">
        <w:rPr>
          <w:rFonts w:ascii="Tahoma" w:eastAsia="Times New Roman" w:hAnsi="Tahoma" w:cs="Tahoma"/>
          <w:lang w:eastAsia="cs-CZ"/>
        </w:rPr>
        <w:t>číslo účtu:</w:t>
      </w:r>
      <w:r w:rsidRPr="00115763">
        <w:rPr>
          <w:rFonts w:ascii="Tahoma" w:eastAsia="Times New Roman" w:hAnsi="Tahoma" w:cs="Tahoma"/>
          <w:lang w:eastAsia="cs-CZ"/>
        </w:rPr>
        <w:tab/>
        <w:t>141001410/2700</w:t>
      </w:r>
    </w:p>
    <w:p w14:paraId="48B2C1E2" w14:textId="77777777" w:rsidR="00115763" w:rsidRPr="00115763" w:rsidRDefault="00115763" w:rsidP="00115763">
      <w:pPr>
        <w:spacing w:before="120"/>
        <w:ind w:left="284"/>
        <w:rPr>
          <w:rFonts w:ascii="Tahoma" w:hAnsi="Tahoma" w:cs="Tahoma"/>
        </w:rPr>
      </w:pPr>
      <w:r w:rsidRPr="00115763">
        <w:rPr>
          <w:rFonts w:ascii="Tahoma" w:hAnsi="Tahoma" w:cs="Tahoma"/>
        </w:rPr>
        <w:t>Osoby oprávněné jednat ve věcech této smlouvy:</w:t>
      </w:r>
    </w:p>
    <w:p w14:paraId="0CC4E3DB" w14:textId="4C1CDA5D" w:rsidR="00115763" w:rsidRPr="00115763" w:rsidRDefault="00115763" w:rsidP="00115763">
      <w:pPr>
        <w:spacing w:before="120" w:after="120"/>
        <w:rPr>
          <w:rFonts w:ascii="Tahoma" w:hAnsi="Tahoma" w:cs="Tahoma"/>
        </w:rPr>
      </w:pPr>
      <w:r>
        <w:rPr>
          <w:rFonts w:ascii="Tahoma" w:hAnsi="Tahoma" w:cs="Tahoma"/>
        </w:rPr>
        <w:t xml:space="preserve">    </w:t>
      </w:r>
      <w:r w:rsidRPr="00115763">
        <w:rPr>
          <w:rFonts w:ascii="Tahoma" w:hAnsi="Tahoma" w:cs="Tahoma"/>
        </w:rPr>
        <w:t xml:space="preserve">Mgr. Richard Štěpán, </w:t>
      </w:r>
      <w:hyperlink r:id="rId7" w:history="1">
        <w:r w:rsidRPr="00115763">
          <w:rPr>
            <w:rFonts w:ascii="Tahoma" w:hAnsi="Tahoma" w:cs="Tahoma"/>
          </w:rPr>
          <w:t>richard.stepan@frengp.cz</w:t>
        </w:r>
      </w:hyperlink>
      <w:r w:rsidRPr="00115763">
        <w:rPr>
          <w:rFonts w:ascii="Tahoma" w:hAnsi="Tahoma" w:cs="Tahoma"/>
        </w:rPr>
        <w:t xml:space="preserve">, </w:t>
      </w:r>
      <w:bdo w:val="ltr">
        <w:r w:rsidRPr="00115763">
          <w:rPr>
            <w:rFonts w:ascii="Tahoma" w:hAnsi="Tahoma" w:cs="Tahoma"/>
          </w:rPr>
          <w:t>+420 604 711 746</w:t>
        </w:r>
        <w:r w:rsidRPr="00115763">
          <w:rPr>
            <w:rFonts w:ascii="Tahoma" w:hAnsi="Tahoma" w:cs="Tahoma"/>
          </w:rPr>
          <w:t xml:space="preserve">‬.  </w:t>
        </w:r>
        <w:r w:rsidRPr="00115763">
          <w:rPr>
            <w:rFonts w:ascii="Tahoma" w:hAnsi="Tahoma" w:cs="Tahoma"/>
          </w:rPr>
          <w:t>‬</w:t>
        </w:r>
        <w:r w:rsidRPr="00115763">
          <w:rPr>
            <w:rFonts w:ascii="Tahoma" w:hAnsi="Tahoma" w:cs="Tahoma"/>
          </w:rPr>
          <w:t>‬</w:t>
        </w:r>
        <w:r>
          <w:t>‬</w:t>
        </w:r>
        <w:r>
          <w:t>‬</w:t>
        </w:r>
        <w:r>
          <w:t>‬</w:t>
        </w:r>
        <w:r w:rsidR="00000000">
          <w:t>‬</w:t>
        </w:r>
      </w:bdo>
    </w:p>
    <w:p w14:paraId="145A88F6" w14:textId="682B0796" w:rsidR="00115763" w:rsidRPr="00115763" w:rsidRDefault="00115763" w:rsidP="00115763">
      <w:pPr>
        <w:pStyle w:val="Zkladntext"/>
        <w:widowControl/>
        <w:numPr>
          <w:ilvl w:val="12"/>
          <w:numId w:val="1"/>
        </w:numPr>
        <w:tabs>
          <w:tab w:val="clear" w:pos="1418"/>
        </w:tabs>
        <w:autoSpaceDE/>
        <w:autoSpaceDN/>
        <w:rPr>
          <w:rFonts w:ascii="Tahoma" w:hAnsi="Tahoma" w:cs="Tahoma"/>
          <w:sz w:val="22"/>
          <w:szCs w:val="22"/>
        </w:rPr>
      </w:pPr>
      <w:r>
        <w:rPr>
          <w:rFonts w:ascii="Tahoma" w:hAnsi="Tahoma" w:cs="Tahoma"/>
          <w:sz w:val="22"/>
          <w:szCs w:val="22"/>
        </w:rPr>
        <w:t xml:space="preserve">   </w:t>
      </w:r>
      <w:r w:rsidRPr="00115763">
        <w:rPr>
          <w:rFonts w:ascii="Tahoma" w:hAnsi="Tahoma" w:cs="Tahoma"/>
          <w:sz w:val="22"/>
          <w:szCs w:val="22"/>
        </w:rPr>
        <w:t>‬ (dále jen „kupující“)</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pPr>
        <w:pStyle w:val="Zkladntext"/>
        <w:numPr>
          <w:ilvl w:val="0"/>
          <w:numId w:val="21"/>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00D85DD3" w14:textId="77777777" w:rsidR="00115763" w:rsidRPr="00343967" w:rsidRDefault="00115763" w:rsidP="006C58FF">
      <w:pPr>
        <w:pStyle w:val="Zkladntext"/>
        <w:widowControl/>
        <w:numPr>
          <w:ilvl w:val="12"/>
          <w:numId w:val="0"/>
        </w:numPr>
        <w:tabs>
          <w:tab w:val="clear" w:pos="1418"/>
        </w:tabs>
        <w:autoSpaceDE/>
        <w:autoSpaceDN/>
        <w:ind w:left="357"/>
        <w:rPr>
          <w:rFonts w:ascii="Tahoma" w:hAnsi="Tahoma" w:cs="Tahoma"/>
          <w:iCs/>
          <w:sz w:val="22"/>
          <w:szCs w:val="22"/>
        </w:rPr>
      </w:pP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115763" w:rsidRDefault="001E7435">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115763">
        <w:rPr>
          <w:rFonts w:ascii="Tahoma" w:hAnsi="Tahoma" w:cs="Tahoma"/>
          <w:sz w:val="22"/>
          <w:szCs w:val="22"/>
        </w:rPr>
        <w:t>Prodávající</w:t>
      </w:r>
      <w:r w:rsidR="00EC015B" w:rsidRPr="00115763">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115763">
        <w:rPr>
          <w:rFonts w:ascii="Tahoma" w:hAnsi="Tahoma" w:cs="Tahoma"/>
          <w:sz w:val="22"/>
          <w:szCs w:val="22"/>
        </w:rPr>
        <w:t>Prodávající</w:t>
      </w:r>
      <w:r w:rsidR="00EC015B" w:rsidRPr="00115763">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6605AB7F" w:rsidR="00066D69" w:rsidRPr="00343967" w:rsidRDefault="00066D69">
      <w:pPr>
        <w:pStyle w:val="Zkladntext"/>
        <w:numPr>
          <w:ilvl w:val="0"/>
          <w:numId w:val="12"/>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115763">
        <w:rPr>
          <w:rFonts w:ascii="Tahoma" w:hAnsi="Tahoma" w:cs="Tahoma"/>
          <w:sz w:val="22"/>
          <w:szCs w:val="22"/>
        </w:rPr>
        <w:t>zboží</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2AD48D14" w14:textId="294355F9" w:rsidR="00466780" w:rsidRPr="00A11761" w:rsidRDefault="00066D69" w:rsidP="00A11761">
      <w:pPr>
        <w:pStyle w:val="Zkladntext"/>
        <w:numPr>
          <w:ilvl w:val="0"/>
          <w:numId w:val="12"/>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115763">
        <w:rPr>
          <w:rFonts w:ascii="Tahoma" w:hAnsi="Tahoma" w:cs="Tahoma"/>
          <w:sz w:val="22"/>
          <w:szCs w:val="22"/>
        </w:rPr>
        <w:t>měřící jednotka, ovládací software, modul prvků, odporová dekáda, kapacitní dekáda, souprava dvoukolíkových prvků, souprava propojovacích a dvojnásobných</w:t>
      </w:r>
      <w:r w:rsidR="00D9511E">
        <w:rPr>
          <w:rFonts w:ascii="Tahoma" w:hAnsi="Tahoma" w:cs="Tahoma"/>
          <w:sz w:val="22"/>
          <w:szCs w:val="22"/>
        </w:rPr>
        <w:t xml:space="preserve"> kabelů, modul výkonového zesilovače, modul transformátoru, modul s paticí 1x16, modul operačního zesilovače, zdroj+</w:t>
      </w:r>
      <w:proofErr w:type="gramStart"/>
      <w:r w:rsidR="00D9511E">
        <w:rPr>
          <w:rFonts w:ascii="Tahoma" w:hAnsi="Tahoma" w:cs="Tahoma"/>
          <w:sz w:val="22"/>
          <w:szCs w:val="22"/>
        </w:rPr>
        <w:t>5V</w:t>
      </w:r>
      <w:proofErr w:type="gramEnd"/>
      <w:r w:rsidR="00D9511E">
        <w:rPr>
          <w:rFonts w:ascii="Tahoma" w:hAnsi="Tahoma" w:cs="Tahoma"/>
          <w:sz w:val="22"/>
          <w:szCs w:val="22"/>
        </w:rPr>
        <w:t xml:space="preserve"> a rozvod napájení universální. </w:t>
      </w:r>
      <w:r w:rsidR="00BE537E" w:rsidRPr="00D9511E">
        <w:rPr>
          <w:rFonts w:ascii="Tahoma" w:hAnsi="Tahoma" w:cs="Tahoma"/>
          <w:sz w:val="22"/>
          <w:szCs w:val="22"/>
        </w:rPr>
        <w:t>Bližší specifikace zboží je přílohou č.</w:t>
      </w:r>
      <w:r w:rsidR="008561BD" w:rsidRPr="00D9511E">
        <w:rPr>
          <w:rFonts w:ascii="Tahoma" w:hAnsi="Tahoma" w:cs="Tahoma"/>
          <w:sz w:val="22"/>
          <w:szCs w:val="22"/>
        </w:rPr>
        <w:t> </w:t>
      </w:r>
      <w:r w:rsidR="00D9511E">
        <w:rPr>
          <w:rFonts w:ascii="Tahoma" w:hAnsi="Tahoma" w:cs="Tahoma"/>
          <w:sz w:val="22"/>
          <w:szCs w:val="22"/>
        </w:rPr>
        <w:t>1</w:t>
      </w:r>
      <w:r w:rsidR="00BE537E" w:rsidRPr="00D9511E">
        <w:rPr>
          <w:rFonts w:ascii="Tahoma" w:hAnsi="Tahoma" w:cs="Tahoma"/>
          <w:sz w:val="22"/>
          <w:szCs w:val="22"/>
        </w:rPr>
        <w:t xml:space="preserve"> této smlouvy.</w:t>
      </w:r>
      <w:r w:rsidR="008B293F" w:rsidRPr="00D9511E">
        <w:rPr>
          <w:rFonts w:ascii="Tahoma" w:hAnsi="Tahoma" w:cs="Tahoma"/>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3845FE44" w14:textId="4294FD0E" w:rsidR="00D9511E" w:rsidRPr="00A11761" w:rsidRDefault="00D9511E">
      <w:pPr>
        <w:pStyle w:val="Zkladntext"/>
        <w:numPr>
          <w:ilvl w:val="0"/>
          <w:numId w:val="12"/>
        </w:numPr>
        <w:tabs>
          <w:tab w:val="clear" w:pos="360"/>
          <w:tab w:val="clear" w:pos="1418"/>
        </w:tabs>
        <w:rPr>
          <w:rFonts w:ascii="Tahoma" w:hAnsi="Tahoma" w:cs="Tahoma"/>
          <w:sz w:val="22"/>
          <w:szCs w:val="22"/>
        </w:rPr>
      </w:pPr>
      <w:r w:rsidRPr="00A11761">
        <w:rPr>
          <w:rFonts w:ascii="Tahoma" w:hAnsi="Tahoma" w:cs="Tahoma"/>
          <w:sz w:val="22"/>
          <w:szCs w:val="22"/>
        </w:rPr>
        <w:t>Příslušenstvím zboží se rozumí:</w:t>
      </w:r>
    </w:p>
    <w:p w14:paraId="7038418E" w14:textId="119F5E6E" w:rsidR="00D9511E" w:rsidRPr="00A11761" w:rsidRDefault="00D9511E">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sidRPr="00A11761">
        <w:rPr>
          <w:rFonts w:ascii="Tahoma" w:hAnsi="Tahoma" w:cs="Tahoma"/>
          <w:sz w:val="22"/>
          <w:szCs w:val="22"/>
        </w:rPr>
        <w:t xml:space="preserve">návody k použití a údržbě v českém jazyce </w:t>
      </w:r>
    </w:p>
    <w:p w14:paraId="3937D009" w14:textId="77777777" w:rsidR="00D9511E" w:rsidRPr="00A11761" w:rsidRDefault="00D9511E">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sidRPr="00A11761">
        <w:rPr>
          <w:rFonts w:ascii="Tahoma" w:hAnsi="Tahoma" w:cs="Tahoma"/>
          <w:sz w:val="22"/>
          <w:szCs w:val="22"/>
        </w:rPr>
        <w:t>záruční listy,</w:t>
      </w:r>
    </w:p>
    <w:p w14:paraId="2D34AF07" w14:textId="77777777" w:rsidR="00D9511E" w:rsidRPr="00A11761" w:rsidRDefault="00D9511E">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sidRPr="00A11761">
        <w:rPr>
          <w:rFonts w:ascii="Tahoma" w:hAnsi="Tahoma" w:cs="Tahoma"/>
          <w:sz w:val="22"/>
          <w:szCs w:val="22"/>
        </w:rPr>
        <w:t xml:space="preserve">pokud pro správné a úplné fungování zboží či jeho jednotlivých položek je nezbytný operační systém či jiný software (dále též „software“), je součástí závazku prodávajícího též dodání takového software, v odpovídajícím počtu kusů k daným položkám zboží, </w:t>
      </w:r>
      <w:r w:rsidRPr="00A11761">
        <w:rPr>
          <w:rFonts w:ascii="Tahoma" w:hAnsi="Tahoma" w:cs="Tahoma"/>
          <w:sz w:val="22"/>
          <w:szCs w:val="22"/>
        </w:rPr>
        <w:lastRenderedPageBreak/>
        <w:t>včetně všech dokladů a návodů v českém jazyce, které se k software vztahují. Prodávající poskytuje kupujícímu k software licenci. Licencí se rozumí oprávnění kupujícího k výkonu práva duševního vlastnictví k software a užití software pro potřeby kupujícího a příslušných uživatelů. Licenci k software prodávající uděluje kupujícímu ve smyslu § 2358 a násl. občanského zákoníku. Kupující je oprávněn na základě udělené licence software užít:</w:t>
      </w:r>
    </w:p>
    <w:p w14:paraId="592B7D80" w14:textId="77777777" w:rsidR="00D9511E" w:rsidRPr="00A11761" w:rsidRDefault="00D9511E">
      <w:pPr>
        <w:pStyle w:val="Zkladntext"/>
        <w:numPr>
          <w:ilvl w:val="1"/>
          <w:numId w:val="30"/>
        </w:numPr>
        <w:tabs>
          <w:tab w:val="clear" w:pos="1418"/>
          <w:tab w:val="left" w:pos="714"/>
        </w:tabs>
        <w:suppressAutoHyphens/>
        <w:spacing w:before="60"/>
        <w:rPr>
          <w:rFonts w:ascii="Tahoma" w:hAnsi="Tahoma" w:cs="Tahoma"/>
          <w:sz w:val="22"/>
          <w:szCs w:val="22"/>
        </w:rPr>
      </w:pPr>
      <w:r w:rsidRPr="00A11761">
        <w:rPr>
          <w:rFonts w:ascii="Tahoma" w:hAnsi="Tahoma" w:cs="Tahoma"/>
          <w:sz w:val="22"/>
          <w:szCs w:val="22"/>
        </w:rPr>
        <w:t>v územně neomezeném rozsahu,</w:t>
      </w:r>
    </w:p>
    <w:p w14:paraId="747A8F28" w14:textId="77777777" w:rsidR="00D9511E" w:rsidRPr="00A11761" w:rsidRDefault="00D9511E">
      <w:pPr>
        <w:pStyle w:val="Zkladntext"/>
        <w:numPr>
          <w:ilvl w:val="1"/>
          <w:numId w:val="30"/>
        </w:numPr>
        <w:tabs>
          <w:tab w:val="clear" w:pos="1418"/>
          <w:tab w:val="left" w:pos="714"/>
        </w:tabs>
        <w:suppressAutoHyphens/>
        <w:spacing w:before="60"/>
        <w:rPr>
          <w:rFonts w:ascii="Tahoma" w:hAnsi="Tahoma" w:cs="Tahoma"/>
          <w:sz w:val="22"/>
          <w:szCs w:val="22"/>
        </w:rPr>
      </w:pPr>
      <w:r w:rsidRPr="00A11761">
        <w:rPr>
          <w:rFonts w:ascii="Tahoma" w:hAnsi="Tahoma" w:cs="Tahoma"/>
          <w:sz w:val="22"/>
          <w:szCs w:val="22"/>
        </w:rPr>
        <w:t>v rozsahu odpovídajícímu počtu kusů položek zboží, k nimž je software dodáván a je pro fungování těchto položek zboží nezbytný a</w:t>
      </w:r>
    </w:p>
    <w:p w14:paraId="1CD2F4CF" w14:textId="77777777" w:rsidR="00D9511E" w:rsidRPr="00A11761" w:rsidRDefault="00D9511E">
      <w:pPr>
        <w:pStyle w:val="Zkladntext"/>
        <w:numPr>
          <w:ilvl w:val="1"/>
          <w:numId w:val="30"/>
        </w:numPr>
        <w:tabs>
          <w:tab w:val="clear" w:pos="1418"/>
          <w:tab w:val="left" w:pos="714"/>
        </w:tabs>
        <w:suppressAutoHyphens/>
        <w:spacing w:before="60"/>
        <w:rPr>
          <w:rFonts w:ascii="Tahoma" w:hAnsi="Tahoma" w:cs="Tahoma"/>
          <w:sz w:val="22"/>
          <w:szCs w:val="22"/>
        </w:rPr>
      </w:pPr>
      <w:r w:rsidRPr="00A11761">
        <w:rPr>
          <w:rFonts w:ascii="Tahoma" w:hAnsi="Tahoma" w:cs="Tahoma"/>
          <w:sz w:val="22"/>
          <w:szCs w:val="22"/>
        </w:rPr>
        <w:t xml:space="preserve">po dobu trvání majetkových práv autora software. </w:t>
      </w:r>
    </w:p>
    <w:p w14:paraId="640665AA" w14:textId="77777777" w:rsidR="00D9511E" w:rsidRPr="00A11761" w:rsidRDefault="00D9511E" w:rsidP="00D9511E">
      <w:pPr>
        <w:pStyle w:val="Zkladntext"/>
        <w:tabs>
          <w:tab w:val="clear" w:pos="1418"/>
          <w:tab w:val="left" w:pos="714"/>
        </w:tabs>
        <w:suppressAutoHyphens/>
        <w:autoSpaceDN/>
        <w:spacing w:before="60"/>
        <w:ind w:left="709"/>
        <w:rPr>
          <w:rFonts w:ascii="Tahoma" w:hAnsi="Tahoma" w:cs="Tahoma"/>
          <w:sz w:val="22"/>
          <w:szCs w:val="22"/>
        </w:rPr>
      </w:pPr>
      <w:r w:rsidRPr="00A11761">
        <w:rPr>
          <w:rFonts w:ascii="Tahoma" w:hAnsi="Tahoma" w:cs="Tahoma"/>
          <w:sz w:val="22"/>
          <w:szCs w:val="22"/>
        </w:rPr>
        <w:t>Je-li součástí dodávky tzv. proprietární SW, u kterého prodávající sám nemůže licenci poskytnout, dodá (zajistí nabytí) prodávající licenci kupujícímu ve výše uvedeném rozsahu. Odměna za poskytnutí licence je součástí kupní ceny uvedené v čl. IV této smlouvy.</w:t>
      </w:r>
    </w:p>
    <w:p w14:paraId="2C3E93B9" w14:textId="77777777" w:rsidR="00D9511E" w:rsidRPr="00A11761" w:rsidRDefault="00D9511E" w:rsidP="00D9511E">
      <w:pPr>
        <w:pStyle w:val="Zkladntext"/>
        <w:tabs>
          <w:tab w:val="clear" w:pos="1418"/>
        </w:tabs>
        <w:ind w:left="357"/>
        <w:rPr>
          <w:rFonts w:ascii="Tahoma" w:hAnsi="Tahoma" w:cs="Tahoma"/>
          <w:i/>
          <w:color w:val="FF00FF"/>
          <w:sz w:val="22"/>
          <w:szCs w:val="22"/>
        </w:rPr>
      </w:pPr>
    </w:p>
    <w:p w14:paraId="04EE4212" w14:textId="01E24594" w:rsidR="001E7435" w:rsidRPr="00D9511E" w:rsidRDefault="00066D69">
      <w:pPr>
        <w:pStyle w:val="Zkladntext"/>
        <w:numPr>
          <w:ilvl w:val="0"/>
          <w:numId w:val="12"/>
        </w:numPr>
        <w:tabs>
          <w:tab w:val="clear" w:pos="360"/>
          <w:tab w:val="clear" w:pos="1418"/>
        </w:tabs>
        <w:rPr>
          <w:rFonts w:ascii="Tahoma" w:hAnsi="Tahoma" w:cs="Tahoma"/>
          <w:sz w:val="22"/>
          <w:szCs w:val="22"/>
        </w:rPr>
      </w:pPr>
      <w:r w:rsidRPr="00D9511E">
        <w:rPr>
          <w:rFonts w:ascii="Tahoma" w:hAnsi="Tahoma" w:cs="Tahoma"/>
          <w:sz w:val="22"/>
          <w:szCs w:val="22"/>
        </w:rPr>
        <w:t>Účelem této smlouvy</w:t>
      </w:r>
      <w:r w:rsidR="008561BD" w:rsidRPr="00D9511E">
        <w:rPr>
          <w:rFonts w:ascii="Tahoma" w:hAnsi="Tahoma" w:cs="Tahoma"/>
          <w:sz w:val="22"/>
          <w:szCs w:val="22"/>
        </w:rPr>
        <w:t xml:space="preserve"> </w:t>
      </w:r>
      <w:r w:rsidR="00D9511E" w:rsidRPr="00D9511E">
        <w:rPr>
          <w:rFonts w:ascii="Tahoma" w:hAnsi="Tahoma" w:cs="Tahoma"/>
          <w:sz w:val="22"/>
          <w:szCs w:val="22"/>
        </w:rPr>
        <w:t>je pořízení modulů výukového systému za účelem zajištění odborné výuky žáků v oblasti elektrotechniky a elektroniky a podpory vzdělávacích činností kupujícího.</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w:t>
      </w:r>
      <w:proofErr w:type="gramStart"/>
      <w:r w:rsidRPr="00343967">
        <w:rPr>
          <w:rFonts w:ascii="Tahoma" w:hAnsi="Tahoma" w:cs="Tahoma"/>
          <w:i/>
          <w:iCs/>
          <w:caps/>
          <w:color w:val="FF0000"/>
          <w:sz w:val="22"/>
          <w:szCs w:val="22"/>
        </w:rPr>
        <w:t xml:space="preserve">A - </w:t>
      </w:r>
      <w:r w:rsidRPr="00343967">
        <w:rPr>
          <w:rFonts w:ascii="Tahoma" w:hAnsi="Tahoma" w:cs="Tahoma"/>
          <w:i/>
          <w:iCs/>
          <w:color w:val="FF0000"/>
          <w:sz w:val="22"/>
          <w:szCs w:val="22"/>
        </w:rPr>
        <w:t>pro</w:t>
      </w:r>
      <w:proofErr w:type="gramEnd"/>
      <w:r w:rsidRPr="00343967">
        <w:rPr>
          <w:rFonts w:ascii="Tahoma" w:hAnsi="Tahoma" w:cs="Tahoma"/>
          <w:i/>
          <w:iCs/>
          <w:color w:val="FF0000"/>
          <w:sz w:val="22"/>
          <w:szCs w:val="22"/>
        </w:rPr>
        <w:t xml:space="preserve"> plátce DPH:</w:t>
      </w:r>
    </w:p>
    <w:p w14:paraId="2B33D996" w14:textId="77777777" w:rsidR="001E7435" w:rsidRDefault="00827B5F">
      <w:pPr>
        <w:numPr>
          <w:ilvl w:val="0"/>
          <w:numId w:val="2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61B24CFD" w14:textId="2542C2E6" w:rsidR="00931340" w:rsidRPr="00D9511E" w:rsidRDefault="00931340" w:rsidP="00BA7EAD">
      <w:pPr>
        <w:spacing w:before="120"/>
        <w:ind w:left="357"/>
        <w:jc w:val="both"/>
        <w:rPr>
          <w:rFonts w:ascii="Tahoma" w:hAnsi="Tahoma" w:cs="Tahoma"/>
          <w:sz w:val="22"/>
          <w:szCs w:val="22"/>
        </w:rPr>
      </w:pPr>
      <w:r w:rsidRPr="00D9511E">
        <w:rPr>
          <w:rFonts w:ascii="Tahoma" w:hAnsi="Tahoma" w:cs="Tahoma"/>
          <w:sz w:val="22"/>
          <w:szCs w:val="22"/>
        </w:rPr>
        <w:t xml:space="preserve">Podrobný rozpis </w:t>
      </w:r>
      <w:r w:rsidR="00827B5F" w:rsidRPr="00D9511E">
        <w:rPr>
          <w:rFonts w:ascii="Tahoma" w:hAnsi="Tahoma" w:cs="Tahoma"/>
          <w:sz w:val="22"/>
          <w:szCs w:val="22"/>
        </w:rPr>
        <w:t xml:space="preserve">kupní </w:t>
      </w:r>
      <w:r w:rsidRPr="00D9511E">
        <w:rPr>
          <w:rFonts w:ascii="Tahoma" w:hAnsi="Tahoma" w:cs="Tahoma"/>
          <w:sz w:val="22"/>
          <w:szCs w:val="22"/>
        </w:rPr>
        <w:t>ceny je uveden v</w:t>
      </w:r>
      <w:r w:rsidR="00BA7EAD" w:rsidRPr="00D9511E">
        <w:rPr>
          <w:rFonts w:ascii="Tahoma" w:hAnsi="Tahoma" w:cs="Tahoma"/>
          <w:sz w:val="22"/>
          <w:szCs w:val="22"/>
        </w:rPr>
        <w:t> </w:t>
      </w:r>
      <w:r w:rsidRPr="00D9511E">
        <w:rPr>
          <w:rFonts w:ascii="Tahoma" w:hAnsi="Tahoma" w:cs="Tahoma"/>
          <w:sz w:val="22"/>
          <w:szCs w:val="22"/>
        </w:rPr>
        <w:t>příloze</w:t>
      </w:r>
      <w:r w:rsidR="00BA7EAD" w:rsidRPr="00D9511E">
        <w:rPr>
          <w:rFonts w:ascii="Tahoma" w:hAnsi="Tahoma" w:cs="Tahoma"/>
          <w:sz w:val="22"/>
          <w:szCs w:val="22"/>
        </w:rPr>
        <w:t xml:space="preserve"> </w:t>
      </w:r>
      <w:r w:rsidRPr="00D9511E">
        <w:rPr>
          <w:rFonts w:ascii="Tahoma" w:hAnsi="Tahoma" w:cs="Tahoma"/>
          <w:sz w:val="22"/>
          <w:szCs w:val="22"/>
        </w:rPr>
        <w:t>č.</w:t>
      </w:r>
      <w:r w:rsidR="00BA7EAD" w:rsidRPr="00D9511E">
        <w:rPr>
          <w:rFonts w:ascii="Tahoma" w:hAnsi="Tahoma" w:cs="Tahoma"/>
          <w:sz w:val="22"/>
          <w:szCs w:val="22"/>
        </w:rPr>
        <w:t> </w:t>
      </w:r>
      <w:r w:rsidR="00D9511E" w:rsidRPr="00D9511E">
        <w:rPr>
          <w:rFonts w:ascii="Tahoma" w:hAnsi="Tahoma" w:cs="Tahoma"/>
          <w:sz w:val="22"/>
          <w:szCs w:val="22"/>
        </w:rPr>
        <w:t>1</w:t>
      </w:r>
      <w:r w:rsidRPr="00D9511E">
        <w:rPr>
          <w:rFonts w:ascii="Tahoma" w:hAnsi="Tahoma" w:cs="Tahoma"/>
          <w:sz w:val="22"/>
          <w:szCs w:val="22"/>
        </w:rPr>
        <w:t xml:space="preserve"> této smlouvy.</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10C2D922" w14:textId="77777777" w:rsidR="001E7435" w:rsidRDefault="00BA7EAD">
      <w:pPr>
        <w:numPr>
          <w:ilvl w:val="0"/>
          <w:numId w:val="2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3CBF057F" w14:textId="77777777" w:rsidR="00D9511E" w:rsidRPr="00D9511E" w:rsidRDefault="00D9511E" w:rsidP="00D9511E">
      <w:pPr>
        <w:spacing w:before="120"/>
        <w:ind w:left="357"/>
        <w:jc w:val="both"/>
        <w:rPr>
          <w:rFonts w:ascii="Tahoma" w:hAnsi="Tahoma" w:cs="Tahoma"/>
          <w:sz w:val="22"/>
          <w:szCs w:val="22"/>
        </w:rPr>
      </w:pPr>
      <w:bookmarkStart w:id="0" w:name="_Hlk46307400"/>
      <w:r w:rsidRPr="00D9511E">
        <w:rPr>
          <w:rFonts w:ascii="Tahoma" w:hAnsi="Tahoma" w:cs="Tahoma"/>
          <w:sz w:val="22"/>
          <w:szCs w:val="22"/>
        </w:rPr>
        <w:t>Podrobný rozpis kupní ceny je uveden v příloze č. 1 této smlouvy.</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57C436E5" w14:textId="34C36547" w:rsidR="00066D69" w:rsidRPr="00343967" w:rsidRDefault="00066D69">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A11761">
        <w:rPr>
          <w:rFonts w:ascii="Tahoma" w:hAnsi="Tahoma" w:cs="Tahoma"/>
          <w:sz w:val="22"/>
          <w:szCs w:val="22"/>
        </w:rPr>
        <w:t xml:space="preserve">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6AFB6764" w:rsidR="00066D69" w:rsidRPr="00A11761" w:rsidRDefault="00066D69">
      <w:pPr>
        <w:pStyle w:val="Zkladntext"/>
        <w:numPr>
          <w:ilvl w:val="0"/>
          <w:numId w:val="14"/>
        </w:numPr>
        <w:tabs>
          <w:tab w:val="clear" w:pos="360"/>
          <w:tab w:val="clear" w:pos="1418"/>
        </w:tabs>
        <w:rPr>
          <w:rFonts w:ascii="Tahoma" w:hAnsi="Tahoma" w:cs="Tahoma"/>
          <w:sz w:val="22"/>
          <w:szCs w:val="22"/>
        </w:rPr>
      </w:pPr>
      <w:r w:rsidRPr="00995130">
        <w:rPr>
          <w:rFonts w:ascii="Tahoma" w:hAnsi="Tahoma" w:cs="Tahoma"/>
          <w:sz w:val="22"/>
          <w:szCs w:val="22"/>
        </w:rPr>
        <w:t xml:space="preserve">Prodávající je povinen </w:t>
      </w:r>
      <w:r w:rsidR="008F0621" w:rsidRPr="00995130">
        <w:rPr>
          <w:rFonts w:ascii="Tahoma" w:hAnsi="Tahoma" w:cs="Tahoma"/>
          <w:sz w:val="22"/>
          <w:szCs w:val="22"/>
        </w:rPr>
        <w:t>odevzdat</w:t>
      </w:r>
      <w:r w:rsidRPr="00995130">
        <w:rPr>
          <w:rFonts w:ascii="Tahoma" w:hAnsi="Tahoma" w:cs="Tahoma"/>
          <w:sz w:val="22"/>
          <w:szCs w:val="22"/>
        </w:rPr>
        <w:t xml:space="preserve"> zboží </w:t>
      </w:r>
      <w:r w:rsidR="008F0621" w:rsidRPr="00995130">
        <w:rPr>
          <w:rFonts w:ascii="Tahoma" w:hAnsi="Tahoma" w:cs="Tahoma"/>
          <w:sz w:val="22"/>
          <w:szCs w:val="22"/>
        </w:rPr>
        <w:t>v</w:t>
      </w:r>
      <w:r w:rsidRPr="00995130">
        <w:rPr>
          <w:rFonts w:ascii="Tahoma" w:hAnsi="Tahoma" w:cs="Tahoma"/>
          <w:sz w:val="22"/>
          <w:szCs w:val="22"/>
        </w:rPr>
        <w:t xml:space="preserve"> míst</w:t>
      </w:r>
      <w:r w:rsidR="008F0621" w:rsidRPr="00995130">
        <w:rPr>
          <w:rFonts w:ascii="Tahoma" w:hAnsi="Tahoma" w:cs="Tahoma"/>
          <w:sz w:val="22"/>
          <w:szCs w:val="22"/>
        </w:rPr>
        <w:t>ě</w:t>
      </w:r>
      <w:r w:rsidRPr="00995130">
        <w:rPr>
          <w:rFonts w:ascii="Tahoma" w:hAnsi="Tahoma" w:cs="Tahoma"/>
          <w:sz w:val="22"/>
          <w:szCs w:val="22"/>
        </w:rPr>
        <w:t xml:space="preserve"> plnění, kterým je</w:t>
      </w:r>
      <w:r w:rsidR="00C21325" w:rsidRPr="00995130">
        <w:rPr>
          <w:rFonts w:ascii="Tahoma" w:hAnsi="Tahoma" w:cs="Tahoma"/>
          <w:sz w:val="22"/>
          <w:szCs w:val="22"/>
        </w:rPr>
        <w:t xml:space="preserve"> </w:t>
      </w:r>
      <w:r w:rsidR="00995130" w:rsidRPr="00995130">
        <w:rPr>
          <w:rFonts w:ascii="Tahoma" w:hAnsi="Tahoma" w:cs="Tahoma"/>
          <w:sz w:val="22"/>
          <w:szCs w:val="22"/>
        </w:rPr>
        <w:t xml:space="preserve">Křižíkova 1258, 744 01 Frenštát pod </w:t>
      </w:r>
      <w:r w:rsidR="00A11761" w:rsidRPr="00995130">
        <w:rPr>
          <w:rFonts w:ascii="Tahoma" w:hAnsi="Tahoma" w:cs="Tahoma"/>
          <w:sz w:val="22"/>
          <w:szCs w:val="22"/>
        </w:rPr>
        <w:t>Radhoštěm,</w:t>
      </w:r>
      <w:r w:rsidR="00995130" w:rsidRPr="00995130">
        <w:rPr>
          <w:rFonts w:ascii="Tahoma" w:hAnsi="Tahoma" w:cs="Tahoma"/>
          <w:sz w:val="22"/>
          <w:szCs w:val="22"/>
        </w:rPr>
        <w:t xml:space="preserve"> tj. </w:t>
      </w:r>
      <w:r w:rsidR="00E86115" w:rsidRPr="00995130">
        <w:rPr>
          <w:rFonts w:ascii="Tahoma" w:hAnsi="Tahoma" w:cs="Tahoma"/>
          <w:sz w:val="22"/>
          <w:szCs w:val="22"/>
        </w:rPr>
        <w:t xml:space="preserve">sídlo </w:t>
      </w:r>
      <w:r w:rsidR="00E86115" w:rsidRPr="00A11761">
        <w:rPr>
          <w:rFonts w:ascii="Tahoma" w:hAnsi="Tahoma" w:cs="Tahoma"/>
          <w:sz w:val="22"/>
          <w:szCs w:val="22"/>
        </w:rPr>
        <w:t>kupujícího.</w:t>
      </w:r>
    </w:p>
    <w:p w14:paraId="70DDE98C" w14:textId="372C0E1B" w:rsidR="00587A33" w:rsidRPr="00A11761" w:rsidRDefault="00587A33">
      <w:pPr>
        <w:pStyle w:val="Zkladntext"/>
        <w:numPr>
          <w:ilvl w:val="0"/>
          <w:numId w:val="14"/>
        </w:numPr>
        <w:tabs>
          <w:tab w:val="clear" w:pos="1418"/>
          <w:tab w:val="left" w:pos="0"/>
        </w:tabs>
        <w:rPr>
          <w:rFonts w:ascii="Tahoma" w:hAnsi="Tahoma" w:cs="Tahoma"/>
          <w:b/>
          <w:bCs/>
          <w:sz w:val="22"/>
          <w:szCs w:val="22"/>
        </w:rPr>
      </w:pPr>
      <w:r w:rsidRPr="00A11761">
        <w:rPr>
          <w:rFonts w:ascii="Tahoma" w:hAnsi="Tahoma" w:cs="Tahoma"/>
          <w:sz w:val="22"/>
          <w:szCs w:val="22"/>
        </w:rPr>
        <w:t xml:space="preserve">Prodávající se zavazuje </w:t>
      </w:r>
      <w:r w:rsidR="00BB55ED" w:rsidRPr="00A11761">
        <w:rPr>
          <w:rFonts w:ascii="Tahoma" w:hAnsi="Tahoma" w:cs="Tahoma"/>
          <w:sz w:val="22"/>
          <w:szCs w:val="22"/>
        </w:rPr>
        <w:t xml:space="preserve">odevzdat kupujícímu </w:t>
      </w:r>
      <w:r w:rsidRPr="00A11761">
        <w:rPr>
          <w:rFonts w:ascii="Tahoma" w:hAnsi="Tahoma" w:cs="Tahoma"/>
          <w:sz w:val="22"/>
          <w:szCs w:val="22"/>
        </w:rPr>
        <w:t xml:space="preserve">zboží nejpozději do </w:t>
      </w:r>
      <w:r w:rsidR="00A11761" w:rsidRPr="00A11761">
        <w:rPr>
          <w:rFonts w:ascii="Tahoma" w:hAnsi="Tahoma" w:cs="Tahoma"/>
          <w:b/>
          <w:bCs/>
          <w:sz w:val="22"/>
          <w:szCs w:val="22"/>
        </w:rPr>
        <w:t>3</w:t>
      </w:r>
      <w:r w:rsidR="009D6FCF">
        <w:rPr>
          <w:rFonts w:ascii="Tahoma" w:hAnsi="Tahoma" w:cs="Tahoma"/>
          <w:b/>
          <w:bCs/>
          <w:sz w:val="22"/>
          <w:szCs w:val="22"/>
        </w:rPr>
        <w:t>0</w:t>
      </w:r>
      <w:r w:rsidR="00A11761" w:rsidRPr="00A11761">
        <w:rPr>
          <w:rFonts w:ascii="Tahoma" w:hAnsi="Tahoma" w:cs="Tahoma"/>
          <w:b/>
          <w:bCs/>
          <w:sz w:val="22"/>
          <w:szCs w:val="22"/>
        </w:rPr>
        <w:t>.1.</w:t>
      </w:r>
      <w:r w:rsidR="00995130" w:rsidRPr="00A11761">
        <w:rPr>
          <w:rFonts w:ascii="Tahoma" w:hAnsi="Tahoma" w:cs="Tahoma"/>
          <w:b/>
          <w:bCs/>
          <w:sz w:val="22"/>
          <w:szCs w:val="22"/>
        </w:rPr>
        <w:t>2026</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lastRenderedPageBreak/>
        <w:t>zjevných jakostních vlastností zboží,</w:t>
      </w:r>
    </w:p>
    <w:p w14:paraId="53BE1BE7" w14:textId="77777777" w:rsidR="00066D69" w:rsidRPr="00343967" w:rsidRDefault="00066D69">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995130" w:rsidRDefault="00066D69">
      <w:pPr>
        <w:numPr>
          <w:ilvl w:val="0"/>
          <w:numId w:val="10"/>
        </w:numPr>
        <w:tabs>
          <w:tab w:val="clear" w:pos="1146"/>
          <w:tab w:val="left" w:pos="851"/>
        </w:tabs>
        <w:spacing w:before="60"/>
        <w:ind w:left="850" w:hanging="425"/>
        <w:rPr>
          <w:rFonts w:ascii="Tahoma" w:hAnsi="Tahoma" w:cs="Tahoma"/>
          <w:sz w:val="22"/>
          <w:szCs w:val="22"/>
        </w:rPr>
      </w:pPr>
      <w:r w:rsidRPr="00995130">
        <w:rPr>
          <w:rFonts w:ascii="Tahoma" w:hAnsi="Tahoma" w:cs="Tahoma"/>
          <w:sz w:val="22"/>
          <w:szCs w:val="22"/>
        </w:rPr>
        <w:t>neporušenosti obalů zboží,</w:t>
      </w:r>
    </w:p>
    <w:p w14:paraId="0C6346AC" w14:textId="77777777" w:rsidR="00995130" w:rsidRDefault="00066D69">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0644D808" w:rsidR="00A15D7E" w:rsidRPr="00343967" w:rsidRDefault="00A15D7E">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62751178" w:rsidR="00066D69" w:rsidRPr="00995130" w:rsidRDefault="00066D69">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6D4A0B" w:rsidRPr="00995130">
        <w:rPr>
          <w:rFonts w:ascii="Tahoma" w:hAnsi="Tahoma" w:cs="Tahoma"/>
          <w:sz w:val="22"/>
          <w:szCs w:val="22"/>
        </w:rPr>
        <w:t>„</w:t>
      </w:r>
      <w:r w:rsidR="00995130" w:rsidRPr="00995130">
        <w:rPr>
          <w:rFonts w:ascii="Tahoma" w:hAnsi="Tahoma" w:cs="Tahoma"/>
          <w:sz w:val="22"/>
          <w:szCs w:val="22"/>
        </w:rPr>
        <w:t xml:space="preserve">Nákup učebních pomůcek grant </w:t>
      </w:r>
      <w:proofErr w:type="spellStart"/>
      <w:r w:rsidR="00995130" w:rsidRPr="00995130">
        <w:rPr>
          <w:rFonts w:ascii="Tahoma" w:hAnsi="Tahoma" w:cs="Tahoma"/>
          <w:sz w:val="22"/>
          <w:szCs w:val="22"/>
        </w:rPr>
        <w:t>onsemi</w:t>
      </w:r>
      <w:proofErr w:type="spellEnd"/>
      <w:r w:rsidR="006D4A0B" w:rsidRPr="00995130">
        <w:rPr>
          <w:rFonts w:ascii="Tahoma" w:hAnsi="Tahoma" w:cs="Tahoma"/>
          <w:sz w:val="22"/>
          <w:szCs w:val="22"/>
        </w:rPr>
        <w:t>“</w:t>
      </w:r>
      <w:r w:rsidRPr="00995130">
        <w:rPr>
          <w:rFonts w:ascii="Tahoma" w:hAnsi="Tahoma" w:cs="Tahoma"/>
          <w:sz w:val="22"/>
          <w:szCs w:val="22"/>
        </w:rPr>
        <w:t>,</w:t>
      </w:r>
    </w:p>
    <w:p w14:paraId="610F2D6D" w14:textId="77777777" w:rsidR="00A15D7E" w:rsidRPr="00343967" w:rsidRDefault="00066D69">
      <w:pPr>
        <w:widowControl w:val="0"/>
        <w:numPr>
          <w:ilvl w:val="0"/>
          <w:numId w:val="8"/>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pPr>
        <w:numPr>
          <w:ilvl w:val="0"/>
          <w:numId w:val="8"/>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pPr>
        <w:numPr>
          <w:ilvl w:val="0"/>
          <w:numId w:val="8"/>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995130">
        <w:rPr>
          <w:rFonts w:ascii="Tahoma" w:hAnsi="Tahoma" w:cs="Tahoma"/>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pPr>
        <w:pStyle w:val="Zkladntext"/>
        <w:numPr>
          <w:ilvl w:val="0"/>
          <w:numId w:val="7"/>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w:t>
      </w:r>
      <w:r w:rsidRPr="0024681B">
        <w:rPr>
          <w:rFonts w:ascii="Tahoma" w:hAnsi="Tahoma" w:cs="Tahoma"/>
          <w:sz w:val="22"/>
          <w:szCs w:val="22"/>
        </w:rPr>
        <w:lastRenderedPageBreak/>
        <w:t>kupujícímu.</w:t>
      </w:r>
    </w:p>
    <w:p w14:paraId="14A06BC3" w14:textId="77777777" w:rsidR="00206335" w:rsidRPr="0024681B" w:rsidRDefault="00A35581">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pPr>
        <w:numPr>
          <w:ilvl w:val="0"/>
          <w:numId w:val="19"/>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7C4BCA73" w14:textId="77777777" w:rsidR="00206335" w:rsidRPr="00995130" w:rsidRDefault="002E23FB">
      <w:pPr>
        <w:numPr>
          <w:ilvl w:val="0"/>
          <w:numId w:val="19"/>
        </w:numPr>
        <w:tabs>
          <w:tab w:val="clear" w:pos="360"/>
          <w:tab w:val="num" w:pos="720"/>
        </w:tabs>
        <w:spacing w:after="60"/>
        <w:ind w:left="720"/>
        <w:jc w:val="both"/>
        <w:rPr>
          <w:rFonts w:ascii="Tahoma" w:hAnsi="Tahoma" w:cs="Tahoma"/>
          <w:sz w:val="22"/>
          <w:szCs w:val="22"/>
        </w:rPr>
      </w:pPr>
      <w:r w:rsidRPr="00995130">
        <w:rPr>
          <w:rFonts w:ascii="Tahoma" w:hAnsi="Tahoma" w:cs="Tahoma"/>
          <w:sz w:val="22"/>
          <w:szCs w:val="22"/>
        </w:rPr>
        <w:t>bankovní účet prodá</w:t>
      </w:r>
      <w:r w:rsidR="00D425CA" w:rsidRPr="00995130">
        <w:rPr>
          <w:rFonts w:ascii="Tahoma" w:hAnsi="Tahoma" w:cs="Tahoma"/>
          <w:sz w:val="22"/>
          <w:szCs w:val="22"/>
        </w:rPr>
        <w:t>vajícího určený k úhradě plnění uvedený na faktuře</w:t>
      </w:r>
      <w:r w:rsidRPr="00995130">
        <w:rPr>
          <w:rFonts w:ascii="Tahoma" w:hAnsi="Tahoma" w:cs="Tahoma"/>
          <w:sz w:val="22"/>
          <w:szCs w:val="22"/>
        </w:rPr>
        <w:t xml:space="preserve"> nebude správcem daně zveřejněn v aplikaci „Registr DPH“</w:t>
      </w:r>
      <w:r w:rsidR="00BD5FB9" w:rsidRPr="00995130">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6B8C337D" w:rsidR="00066D69" w:rsidRPr="00343967" w:rsidRDefault="00066D69">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a to v </w:t>
      </w:r>
      <w:r w:rsidRPr="00A11761">
        <w:rPr>
          <w:rFonts w:ascii="Tahoma" w:hAnsi="Tahoma" w:cs="Tahoma"/>
          <w:sz w:val="22"/>
          <w:szCs w:val="22"/>
        </w:rPr>
        <w:t xml:space="preserve">délce </w:t>
      </w:r>
      <w:r w:rsidR="00A11761" w:rsidRPr="00A11761">
        <w:rPr>
          <w:rFonts w:ascii="Tahoma" w:hAnsi="Tahoma" w:cs="Tahoma"/>
          <w:sz w:val="22"/>
          <w:szCs w:val="22"/>
        </w:rPr>
        <w:t>36</w:t>
      </w:r>
      <w:r w:rsidRPr="00A11761">
        <w:rPr>
          <w:rFonts w:ascii="Tahoma" w:hAnsi="Tahoma" w:cs="Tahoma"/>
          <w:sz w:val="22"/>
          <w:szCs w:val="22"/>
        </w:rPr>
        <w:t xml:space="preserve"> </w:t>
      </w:r>
      <w:r w:rsidR="0023024F" w:rsidRPr="00A11761">
        <w:rPr>
          <w:rFonts w:ascii="Tahoma" w:hAnsi="Tahoma" w:cs="Tahoma"/>
          <w:sz w:val="22"/>
          <w:szCs w:val="22"/>
        </w:rPr>
        <w:t>m</w:t>
      </w:r>
      <w:r w:rsidRPr="00A11761">
        <w:rPr>
          <w:rFonts w:ascii="Tahoma" w:hAnsi="Tahoma" w:cs="Tahoma"/>
          <w:sz w:val="22"/>
          <w:szCs w:val="22"/>
        </w:rPr>
        <w:t>ěsíců</w:t>
      </w:r>
      <w:r w:rsidR="006976FB" w:rsidRPr="00A11761">
        <w:rPr>
          <w:rFonts w:ascii="Tahoma" w:hAnsi="Tahoma" w:cs="Tahoma"/>
          <w:sz w:val="22"/>
          <w:szCs w:val="22"/>
        </w:rPr>
        <w:t xml:space="preserve"> (dále též „záruční doba“)</w:t>
      </w:r>
      <w:r w:rsidR="007E0F26" w:rsidRPr="00A11761">
        <w:rPr>
          <w:rFonts w:ascii="Tahoma" w:hAnsi="Tahoma" w:cs="Tahoma"/>
          <w:sz w:val="22"/>
          <w:szCs w:val="22"/>
        </w:rPr>
        <w:t>.</w:t>
      </w:r>
    </w:p>
    <w:p w14:paraId="576646ED" w14:textId="77777777" w:rsidR="00066D69" w:rsidRPr="00343967" w:rsidRDefault="00066D69">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73D4B069" w:rsidR="00066D69" w:rsidRPr="00343967" w:rsidRDefault="00066D69">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(e-mailem), obsahujícím co nejpodrobnější specifikaci zjištěné vady. Kupující bude vady zboží oznamovat na:</w:t>
      </w:r>
    </w:p>
    <w:p w14:paraId="26DB283F" w14:textId="77777777" w:rsidR="00066D69" w:rsidRPr="00343967" w:rsidRDefault="00066D69">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pPr>
        <w:numPr>
          <w:ilvl w:val="0"/>
          <w:numId w:val="5"/>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A11761" w:rsidRDefault="0046039E">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 xml:space="preserve">dopravu opraveného nebo vyměněného zboží zpět ke </w:t>
      </w:r>
      <w:r w:rsidRPr="00A11761">
        <w:rPr>
          <w:rFonts w:ascii="Tahoma" w:hAnsi="Tahoma" w:cs="Tahoma"/>
          <w:sz w:val="22"/>
          <w:szCs w:val="22"/>
        </w:rPr>
        <w:t>kupujícímu</w:t>
      </w:r>
      <w:r w:rsidR="008F4E65" w:rsidRPr="00A11761">
        <w:rPr>
          <w:rFonts w:ascii="Tahoma" w:hAnsi="Tahoma" w:cs="Tahoma"/>
          <w:sz w:val="22"/>
          <w:szCs w:val="22"/>
        </w:rPr>
        <w:t>.</w:t>
      </w:r>
    </w:p>
    <w:p w14:paraId="1DCD49BC" w14:textId="3F47F6E6" w:rsidR="00066D69" w:rsidRPr="00A11761" w:rsidRDefault="00066D69">
      <w:pPr>
        <w:numPr>
          <w:ilvl w:val="0"/>
          <w:numId w:val="5"/>
        </w:numPr>
        <w:tabs>
          <w:tab w:val="clear" w:pos="720"/>
        </w:tabs>
        <w:spacing w:before="120"/>
        <w:ind w:left="357" w:hanging="357"/>
        <w:jc w:val="both"/>
        <w:rPr>
          <w:rFonts w:ascii="Tahoma" w:hAnsi="Tahoma" w:cs="Tahoma"/>
          <w:sz w:val="22"/>
          <w:szCs w:val="22"/>
        </w:rPr>
      </w:pPr>
      <w:r w:rsidRPr="00A11761">
        <w:rPr>
          <w:rFonts w:ascii="Tahoma" w:hAnsi="Tahoma" w:cs="Tahoma"/>
          <w:sz w:val="22"/>
          <w:szCs w:val="22"/>
        </w:rPr>
        <w:t xml:space="preserve">Odstranění vady musí být provedeno do </w:t>
      </w:r>
      <w:r w:rsidR="00A11761" w:rsidRPr="00A11761">
        <w:rPr>
          <w:rFonts w:ascii="Tahoma" w:hAnsi="Tahoma" w:cs="Tahoma"/>
          <w:sz w:val="22"/>
          <w:szCs w:val="22"/>
        </w:rPr>
        <w:t>30</w:t>
      </w:r>
      <w:r w:rsidR="00BA2B44" w:rsidRPr="00A11761">
        <w:rPr>
          <w:rFonts w:ascii="Tahoma" w:hAnsi="Tahoma" w:cs="Tahoma"/>
          <w:sz w:val="22"/>
          <w:szCs w:val="22"/>
        </w:rPr>
        <w:t xml:space="preserve"> </w:t>
      </w:r>
      <w:r w:rsidR="001D1DEB" w:rsidRPr="00A11761">
        <w:rPr>
          <w:rFonts w:ascii="Tahoma" w:hAnsi="Tahoma" w:cs="Tahoma"/>
          <w:sz w:val="22"/>
          <w:szCs w:val="22"/>
        </w:rPr>
        <w:t>dnů</w:t>
      </w:r>
      <w:r w:rsidR="008F4E65" w:rsidRPr="00A11761">
        <w:rPr>
          <w:rFonts w:ascii="Tahoma" w:hAnsi="Tahoma" w:cs="Tahoma"/>
          <w:sz w:val="22"/>
          <w:szCs w:val="22"/>
        </w:rPr>
        <w:t xml:space="preserve"> od </w:t>
      </w:r>
      <w:r w:rsidRPr="00A11761">
        <w:rPr>
          <w:rFonts w:ascii="Tahoma" w:hAnsi="Tahoma" w:cs="Tahoma"/>
          <w:sz w:val="22"/>
          <w:szCs w:val="22"/>
        </w:rPr>
        <w:t>oznámení této vady prodávajícímu, pokud se smluvní strany v konkrétním případě nedohodnou písemně jinak. Pokud prodávající vadu neodstraní ve stanovené lhůtě, je povinen kupujícímu poskytnout zdarma ná</w:t>
      </w:r>
      <w:r w:rsidR="008F4E65" w:rsidRPr="00A11761">
        <w:rPr>
          <w:rFonts w:ascii="Tahoma" w:hAnsi="Tahoma" w:cs="Tahoma"/>
          <w:sz w:val="22"/>
          <w:szCs w:val="22"/>
        </w:rPr>
        <w:t>hradní zboží o </w:t>
      </w:r>
      <w:r w:rsidRPr="00A11761">
        <w:rPr>
          <w:rFonts w:ascii="Tahoma" w:hAnsi="Tahoma" w:cs="Tahoma"/>
          <w:sz w:val="22"/>
          <w:szCs w:val="22"/>
        </w:rPr>
        <w:t>stejných nebo vyš</w:t>
      </w:r>
      <w:r w:rsidR="008F4E65" w:rsidRPr="00A11761">
        <w:rPr>
          <w:rFonts w:ascii="Tahoma" w:hAnsi="Tahoma" w:cs="Tahoma"/>
          <w:sz w:val="22"/>
          <w:szCs w:val="22"/>
        </w:rPr>
        <w:t>ších technických parametrech, a </w:t>
      </w:r>
      <w:r w:rsidRPr="00A11761">
        <w:rPr>
          <w:rFonts w:ascii="Tahoma" w:hAnsi="Tahoma" w:cs="Tahoma"/>
          <w:sz w:val="22"/>
          <w:szCs w:val="22"/>
        </w:rPr>
        <w:t>to až do</w:t>
      </w:r>
      <w:r w:rsidR="008F4E65" w:rsidRPr="00A11761">
        <w:rPr>
          <w:rFonts w:ascii="Tahoma" w:hAnsi="Tahoma" w:cs="Tahoma"/>
          <w:sz w:val="22"/>
          <w:szCs w:val="22"/>
        </w:rPr>
        <w:t> </w:t>
      </w:r>
      <w:r w:rsidRPr="00A11761">
        <w:rPr>
          <w:rFonts w:ascii="Tahoma" w:hAnsi="Tahoma" w:cs="Tahoma"/>
          <w:sz w:val="22"/>
          <w:szCs w:val="22"/>
        </w:rPr>
        <w:t>doby předání opraveného zboží kupujícímu.</w:t>
      </w:r>
    </w:p>
    <w:p w14:paraId="67927B53" w14:textId="77777777" w:rsidR="00066D69" w:rsidRPr="00343967" w:rsidRDefault="00A83AE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BE625D3" w:rsidR="00066D69" w:rsidRPr="00343967" w:rsidRDefault="0018468B">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BA2B44">
        <w:rPr>
          <w:rFonts w:ascii="Tahoma" w:hAnsi="Tahoma" w:cs="Tahoma"/>
          <w:iCs/>
          <w:sz w:val="22"/>
          <w:szCs w:val="22"/>
        </w:rPr>
        <w:t xml:space="preserve">0,3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6B357528" w:rsidR="00066D69" w:rsidRPr="00343967" w:rsidRDefault="00066D69">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 xml:space="preserve">smlouvy </w:t>
      </w:r>
      <w:r w:rsidRPr="00BA2B44">
        <w:rPr>
          <w:rFonts w:ascii="Tahoma" w:hAnsi="Tahoma" w:cs="Tahoma"/>
          <w:sz w:val="22"/>
          <w:szCs w:val="22"/>
        </w:rPr>
        <w:t>a</w:t>
      </w:r>
      <w:r w:rsidR="008F4E65" w:rsidRPr="00BA2B44">
        <w:rPr>
          <w:rFonts w:ascii="Tahoma" w:hAnsi="Tahoma" w:cs="Tahoma"/>
          <w:sz w:val="22"/>
          <w:szCs w:val="22"/>
        </w:rPr>
        <w:t> </w:t>
      </w:r>
      <w:r w:rsidRPr="00BA2B44">
        <w:rPr>
          <w:rFonts w:ascii="Tahoma" w:hAnsi="Tahoma" w:cs="Tahoma"/>
          <w:sz w:val="22"/>
          <w:szCs w:val="22"/>
        </w:rPr>
        <w:t>zár</w:t>
      </w:r>
      <w:r w:rsidR="008F4E65" w:rsidRPr="00BA2B44">
        <w:rPr>
          <w:rFonts w:ascii="Tahoma" w:hAnsi="Tahoma" w:cs="Tahoma"/>
          <w:sz w:val="22"/>
          <w:szCs w:val="22"/>
        </w:rPr>
        <w:t>oveň v této lhůtě kupujícímu za </w:t>
      </w:r>
      <w:r w:rsidRPr="00BA2B44">
        <w:rPr>
          <w:rFonts w:ascii="Tahoma" w:hAnsi="Tahoma" w:cs="Tahoma"/>
          <w:sz w:val="22"/>
          <w:szCs w:val="22"/>
        </w:rPr>
        <w:t>vadné zboží neposkytne zdarma náhradní zboží</w:t>
      </w:r>
      <w:r w:rsidR="008F4E65" w:rsidRPr="00BA2B44">
        <w:rPr>
          <w:rFonts w:ascii="Tahoma" w:hAnsi="Tahoma" w:cs="Tahoma"/>
          <w:sz w:val="22"/>
          <w:szCs w:val="22"/>
        </w:rPr>
        <w:t xml:space="preserve"> </w:t>
      </w:r>
      <w:r w:rsidRPr="00BA2B44">
        <w:rPr>
          <w:rFonts w:ascii="Tahoma" w:hAnsi="Tahoma" w:cs="Tahoma"/>
          <w:sz w:val="22"/>
          <w:szCs w:val="22"/>
        </w:rPr>
        <w:t>o</w:t>
      </w:r>
      <w:r w:rsidR="008F4E65" w:rsidRPr="00BA2B44">
        <w:rPr>
          <w:rFonts w:ascii="Tahoma" w:hAnsi="Tahoma" w:cs="Tahoma"/>
          <w:sz w:val="22"/>
          <w:szCs w:val="22"/>
        </w:rPr>
        <w:t> </w:t>
      </w:r>
      <w:r w:rsidRPr="00BA2B44">
        <w:rPr>
          <w:rFonts w:ascii="Tahoma" w:hAnsi="Tahoma" w:cs="Tahoma"/>
          <w:sz w:val="22"/>
          <w:szCs w:val="22"/>
        </w:rPr>
        <w:t>stejných nebo vyšších technických parametrech</w:t>
      </w:r>
      <w:r w:rsidR="008F4E65">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sidR="00BA2B44" w:rsidRPr="00BA2B44">
        <w:rPr>
          <w:rFonts w:ascii="Tahoma" w:hAnsi="Tahoma" w:cs="Tahoma"/>
          <w:sz w:val="22"/>
          <w:szCs w:val="22"/>
        </w:rPr>
        <w:t>0,2</w:t>
      </w:r>
      <w:r w:rsidR="008F4E65" w:rsidRPr="00BA2B44">
        <w:rPr>
          <w:rFonts w:ascii="Tahoma" w:hAnsi="Tahoma" w:cs="Tahoma"/>
          <w:sz w:val="22"/>
          <w:szCs w:val="22"/>
        </w:rPr>
        <w:t> </w:t>
      </w:r>
      <w:r w:rsidRPr="00BA2B44">
        <w:rPr>
          <w:rFonts w:ascii="Tahoma" w:hAnsi="Tahoma" w:cs="Tahoma"/>
          <w:sz w:val="22"/>
          <w:szCs w:val="22"/>
        </w:rPr>
        <w:t>% z</w:t>
      </w:r>
      <w:r w:rsidR="008F4E65" w:rsidRPr="00BA2B44">
        <w:rPr>
          <w:rFonts w:ascii="Tahoma" w:hAnsi="Tahoma" w:cs="Tahoma"/>
          <w:sz w:val="22"/>
          <w:szCs w:val="22"/>
        </w:rPr>
        <w:t> </w:t>
      </w:r>
      <w:r w:rsidRPr="00BA2B44">
        <w:rPr>
          <w:rFonts w:ascii="Tahoma" w:hAnsi="Tahoma" w:cs="Tahoma"/>
          <w:sz w:val="22"/>
          <w:szCs w:val="22"/>
        </w:rPr>
        <w:t xml:space="preserve">kupní ceny </w:t>
      </w:r>
      <w:r w:rsidR="002B0CD7" w:rsidRPr="00BA2B44">
        <w:rPr>
          <w:rFonts w:ascii="Tahoma" w:hAnsi="Tahoma" w:cs="Tahoma"/>
          <w:sz w:val="22"/>
          <w:szCs w:val="22"/>
        </w:rPr>
        <w:t xml:space="preserve">bez DPH </w:t>
      </w:r>
      <w:r w:rsidRPr="00BA2B44">
        <w:rPr>
          <w:rFonts w:ascii="Tahoma" w:hAnsi="Tahoma" w:cs="Tahoma"/>
          <w:sz w:val="22"/>
          <w:szCs w:val="22"/>
        </w:rPr>
        <w:t>podle čl.</w:t>
      </w:r>
      <w:r w:rsidR="008F4E65" w:rsidRPr="00BA2B44">
        <w:rPr>
          <w:rFonts w:ascii="Tahoma" w:hAnsi="Tahoma" w:cs="Tahoma"/>
          <w:sz w:val="22"/>
          <w:szCs w:val="22"/>
        </w:rPr>
        <w:t> </w:t>
      </w:r>
      <w:r w:rsidR="003337D2" w:rsidRPr="00BA2B44">
        <w:rPr>
          <w:rFonts w:ascii="Tahoma" w:hAnsi="Tahoma" w:cs="Tahoma"/>
          <w:sz w:val="22"/>
          <w:szCs w:val="22"/>
        </w:rPr>
        <w:t>IV</w:t>
      </w:r>
      <w:r w:rsidR="008F4E65" w:rsidRPr="00BA2B44">
        <w:rPr>
          <w:rFonts w:ascii="Tahoma" w:hAnsi="Tahoma" w:cs="Tahoma"/>
          <w:sz w:val="22"/>
          <w:szCs w:val="22"/>
        </w:rPr>
        <w:t xml:space="preserve"> odst. 1 této smlouvy, a </w:t>
      </w:r>
      <w:r w:rsidRPr="00BA2B44">
        <w:rPr>
          <w:rFonts w:ascii="Tahoma" w:hAnsi="Tahoma" w:cs="Tahoma"/>
          <w:sz w:val="22"/>
          <w:szCs w:val="22"/>
        </w:rPr>
        <w:t>to za</w:t>
      </w:r>
      <w:r w:rsidR="008F4E65" w:rsidRPr="00BA2B44">
        <w:rPr>
          <w:rFonts w:ascii="Tahoma" w:hAnsi="Tahoma" w:cs="Tahoma"/>
          <w:sz w:val="22"/>
          <w:szCs w:val="22"/>
        </w:rPr>
        <w:t> </w:t>
      </w:r>
      <w:r w:rsidRPr="00BA2B44">
        <w:rPr>
          <w:rFonts w:ascii="Tahoma" w:hAnsi="Tahoma" w:cs="Tahoma"/>
          <w:sz w:val="22"/>
          <w:szCs w:val="22"/>
        </w:rPr>
        <w:t>každý započatý den prodlení až do</w:t>
      </w:r>
      <w:r w:rsidR="008F4E65" w:rsidRPr="00BA2B44">
        <w:rPr>
          <w:rFonts w:ascii="Tahoma" w:hAnsi="Tahoma" w:cs="Tahoma"/>
          <w:sz w:val="22"/>
          <w:szCs w:val="22"/>
        </w:rPr>
        <w:t> </w:t>
      </w:r>
      <w:r w:rsidRPr="00BA2B44">
        <w:rPr>
          <w:rFonts w:ascii="Tahoma" w:hAnsi="Tahoma" w:cs="Tahoma"/>
          <w:sz w:val="22"/>
          <w:szCs w:val="22"/>
        </w:rPr>
        <w:t>odstranění vady</w:t>
      </w:r>
      <w:r w:rsidR="002A7324" w:rsidRPr="00BA2B44">
        <w:rPr>
          <w:rFonts w:ascii="Tahoma" w:hAnsi="Tahoma" w:cs="Tahoma"/>
          <w:sz w:val="22"/>
          <w:szCs w:val="22"/>
        </w:rPr>
        <w:t>,</w:t>
      </w:r>
      <w:r w:rsidRPr="00BA2B44">
        <w:rPr>
          <w:rFonts w:ascii="Tahoma" w:hAnsi="Tahoma" w:cs="Tahoma"/>
          <w:sz w:val="22"/>
          <w:szCs w:val="22"/>
        </w:rPr>
        <w:t xml:space="preserve"> nebo </w:t>
      </w:r>
      <w:r w:rsidR="00323E78" w:rsidRPr="00BA2B44">
        <w:rPr>
          <w:rFonts w:ascii="Tahoma" w:hAnsi="Tahoma" w:cs="Tahoma"/>
          <w:sz w:val="22"/>
          <w:szCs w:val="22"/>
        </w:rPr>
        <w:t>do</w:t>
      </w:r>
      <w:r w:rsidR="008F4E65" w:rsidRPr="00BA2B44">
        <w:rPr>
          <w:rFonts w:ascii="Tahoma" w:hAnsi="Tahoma" w:cs="Tahoma"/>
          <w:sz w:val="22"/>
          <w:szCs w:val="22"/>
        </w:rPr>
        <w:t> </w:t>
      </w:r>
      <w:r w:rsidRPr="00BA2B44">
        <w:rPr>
          <w:rFonts w:ascii="Tahoma" w:hAnsi="Tahoma" w:cs="Tahoma"/>
          <w:sz w:val="22"/>
          <w:szCs w:val="22"/>
        </w:rPr>
        <w:t>poskytnutí náhradního zboží o stejných nebo vyšších technických parametrech</w:t>
      </w:r>
      <w:r w:rsidRPr="00343967">
        <w:rPr>
          <w:rFonts w:ascii="Tahoma" w:hAnsi="Tahoma" w:cs="Tahoma"/>
          <w:sz w:val="22"/>
          <w:szCs w:val="22"/>
        </w:rPr>
        <w:t>.</w:t>
      </w:r>
    </w:p>
    <w:p w14:paraId="034506E1" w14:textId="77777777" w:rsidR="003337D2" w:rsidRPr="00343967" w:rsidRDefault="003337D2">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58B8E0B7" w14:textId="699C5035" w:rsidR="00AF525A" w:rsidRDefault="00AF525A">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Default="00AF525A">
      <w:pPr>
        <w:pStyle w:val="paragraph"/>
        <w:numPr>
          <w:ilvl w:val="0"/>
          <w:numId w:val="2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Default="00AF525A">
      <w:pPr>
        <w:pStyle w:val="paragraph"/>
        <w:numPr>
          <w:ilvl w:val="0"/>
          <w:numId w:val="2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Default="00AF525A">
      <w:pPr>
        <w:pStyle w:val="paragraph"/>
        <w:numPr>
          <w:ilvl w:val="0"/>
          <w:numId w:val="2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pPr>
        <w:pStyle w:val="paragraph"/>
        <w:numPr>
          <w:ilvl w:val="0"/>
          <w:numId w:val="2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pPr>
        <w:numPr>
          <w:ilvl w:val="3"/>
          <w:numId w:val="5"/>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pPr>
        <w:numPr>
          <w:ilvl w:val="0"/>
          <w:numId w:val="11"/>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0538EE98" w14:textId="5659BB6C" w:rsidR="00F93B1A" w:rsidRPr="00BA2B44" w:rsidRDefault="00986D0E">
      <w:pPr>
        <w:numPr>
          <w:ilvl w:val="0"/>
          <w:numId w:val="11"/>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 xml:space="preserve">mlouva </w:t>
      </w:r>
      <w:r w:rsidR="00BA2B44">
        <w:rPr>
          <w:rFonts w:ascii="Tahoma" w:hAnsi="Tahoma" w:cs="Tahoma"/>
          <w:sz w:val="22"/>
          <w:szCs w:val="22"/>
        </w:rPr>
        <w:t xml:space="preserve">se uzavírá elektronicky. </w:t>
      </w:r>
    </w:p>
    <w:p w14:paraId="7DE5A267" w14:textId="77777777" w:rsidR="00F55EDB" w:rsidRDefault="00F55EDB">
      <w:pPr>
        <w:numPr>
          <w:ilvl w:val="0"/>
          <w:numId w:val="11"/>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lastRenderedPageBreak/>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6EF56403" w:rsidR="00726A43" w:rsidRDefault="00726A43">
      <w:pPr>
        <w:numPr>
          <w:ilvl w:val="0"/>
          <w:numId w:val="11"/>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8" w:history="1">
        <w:r w:rsidR="00BA2B44" w:rsidRPr="00BA2B44">
          <w:t>www.frengp.cz</w:t>
        </w:r>
      </w:hyperlink>
      <w:r w:rsidRPr="20E3AF27">
        <w:rPr>
          <w:rFonts w:ascii="Tahoma" w:hAnsi="Tahoma" w:cs="Tahoma"/>
          <w:sz w:val="22"/>
          <w:szCs w:val="22"/>
        </w:rPr>
        <w:t>.</w:t>
      </w:r>
    </w:p>
    <w:p w14:paraId="4695EA38" w14:textId="77777777" w:rsidR="0071673A" w:rsidRPr="0071673A" w:rsidRDefault="0071673A">
      <w:pPr>
        <w:pStyle w:val="Smlouva-slo"/>
        <w:numPr>
          <w:ilvl w:val="0"/>
          <w:numId w:val="11"/>
        </w:numPr>
        <w:tabs>
          <w:tab w:val="clear" w:pos="720"/>
          <w:tab w:val="num" w:pos="360"/>
        </w:tabs>
        <w:snapToGrid w:val="0"/>
        <w:spacing w:line="240" w:lineRule="auto"/>
        <w:ind w:left="360"/>
        <w:rPr>
          <w:rFonts w:ascii="Tahoma" w:hAnsi="Tahoma" w:cs="Tahoma"/>
          <w:snapToGrid/>
          <w:sz w:val="22"/>
          <w:szCs w:val="22"/>
        </w:rPr>
      </w:pPr>
      <w:r w:rsidRPr="0071673A">
        <w:rPr>
          <w:rFonts w:ascii="Tahoma" w:hAnsi="Tahoma" w:cs="Tahoma"/>
          <w:snapToGrid/>
          <w:sz w:val="22"/>
          <w:szCs w:val="22"/>
        </w:rPr>
        <w:t>Nedílnou součástí této smlouvy je následující příloha:</w:t>
      </w:r>
    </w:p>
    <w:p w14:paraId="004745BB" w14:textId="342F2582" w:rsidR="0071673A" w:rsidRPr="0071673A" w:rsidRDefault="0071673A" w:rsidP="0071673A">
      <w:pPr>
        <w:pStyle w:val="Smlouva-slo"/>
        <w:snapToGrid w:val="0"/>
        <w:spacing w:line="240" w:lineRule="auto"/>
        <w:rPr>
          <w:rFonts w:ascii="Tahoma" w:hAnsi="Tahoma" w:cs="Tahoma"/>
          <w:snapToGrid/>
          <w:sz w:val="22"/>
          <w:szCs w:val="22"/>
        </w:rPr>
      </w:pPr>
      <w:r>
        <w:rPr>
          <w:rFonts w:ascii="Tahoma" w:hAnsi="Tahoma" w:cs="Tahoma"/>
          <w:snapToGrid/>
          <w:sz w:val="22"/>
          <w:szCs w:val="22"/>
        </w:rPr>
        <w:t xml:space="preserve">      </w:t>
      </w:r>
      <w:r w:rsidRPr="0071673A">
        <w:rPr>
          <w:rFonts w:ascii="Tahoma" w:hAnsi="Tahoma" w:cs="Tahoma"/>
          <w:snapToGrid/>
          <w:sz w:val="22"/>
          <w:szCs w:val="22"/>
        </w:rPr>
        <w:t>Příloha č. 1: Technická specifikace a rozpočet</w:t>
      </w: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tc>
          <w:tcPr>
            <w:tcW w:w="3420" w:type="dxa"/>
          </w:tcPr>
          <w:p w14:paraId="0D7A5BE2" w14:textId="1E699FE9"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71673A">
              <w:rPr>
                <w:rFonts w:ascii="Tahoma" w:hAnsi="Tahoma" w:cs="Tahoma"/>
                <w:sz w:val="22"/>
                <w:szCs w:val="22"/>
              </w:rPr>
              <w:t xml:space="preserve">e Frenštátě pod Radhoštěm </w:t>
            </w:r>
            <w:r w:rsidRPr="00343967">
              <w:rPr>
                <w:rFonts w:ascii="Tahoma" w:hAnsi="Tahoma" w:cs="Tahoma"/>
                <w:sz w:val="22"/>
                <w:szCs w:val="22"/>
              </w:rPr>
              <w:t>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25909930" w14:textId="77777777" w:rsidR="00F11DAD" w:rsidRDefault="00F11DAD" w:rsidP="000770A3">
            <w:pPr>
              <w:rPr>
                <w:rFonts w:ascii="Tahoma" w:hAnsi="Tahoma" w:cs="Tahoma"/>
                <w:sz w:val="22"/>
                <w:szCs w:val="22"/>
              </w:rPr>
            </w:pPr>
          </w:p>
          <w:p w14:paraId="4F6DAD43" w14:textId="77777777" w:rsidR="0071673A" w:rsidRDefault="0071673A" w:rsidP="000770A3">
            <w:pPr>
              <w:rPr>
                <w:rFonts w:ascii="Tahoma" w:hAnsi="Tahoma" w:cs="Tahoma"/>
                <w:sz w:val="22"/>
                <w:szCs w:val="22"/>
              </w:rPr>
            </w:pPr>
          </w:p>
          <w:p w14:paraId="3FA82FAE" w14:textId="77777777" w:rsidR="0071673A" w:rsidRDefault="0071673A" w:rsidP="000770A3">
            <w:pPr>
              <w:rPr>
                <w:rFonts w:ascii="Tahoma" w:hAnsi="Tahoma" w:cs="Tahoma"/>
                <w:sz w:val="22"/>
                <w:szCs w:val="22"/>
              </w:rPr>
            </w:pPr>
          </w:p>
          <w:p w14:paraId="736363F2" w14:textId="77777777" w:rsidR="0071673A" w:rsidRDefault="0071673A" w:rsidP="000770A3">
            <w:pPr>
              <w:rPr>
                <w:rFonts w:ascii="Tahoma" w:hAnsi="Tahoma" w:cs="Tahoma"/>
                <w:sz w:val="22"/>
                <w:szCs w:val="22"/>
              </w:rPr>
            </w:pPr>
          </w:p>
          <w:p w14:paraId="2353F275" w14:textId="77777777" w:rsidR="0071673A" w:rsidRDefault="0071673A" w:rsidP="000770A3">
            <w:pPr>
              <w:rPr>
                <w:rFonts w:ascii="Tahoma" w:hAnsi="Tahoma" w:cs="Tahoma"/>
                <w:sz w:val="22"/>
                <w:szCs w:val="22"/>
              </w:rPr>
            </w:pPr>
          </w:p>
          <w:p w14:paraId="37BC31C2" w14:textId="77777777" w:rsidR="0071673A" w:rsidRDefault="0071673A" w:rsidP="000770A3">
            <w:pPr>
              <w:rPr>
                <w:rFonts w:ascii="Tahoma" w:hAnsi="Tahoma" w:cs="Tahoma"/>
                <w:sz w:val="22"/>
                <w:szCs w:val="22"/>
              </w:rPr>
            </w:pPr>
          </w:p>
          <w:p w14:paraId="75E6379A" w14:textId="77777777" w:rsidR="0071673A" w:rsidRDefault="0071673A" w:rsidP="000770A3">
            <w:pPr>
              <w:rPr>
                <w:rFonts w:ascii="Tahoma" w:hAnsi="Tahoma" w:cs="Tahoma"/>
                <w:sz w:val="22"/>
                <w:szCs w:val="22"/>
              </w:rPr>
            </w:pPr>
          </w:p>
          <w:p w14:paraId="1BD80AB7" w14:textId="77777777" w:rsidR="0071673A" w:rsidRPr="00343967" w:rsidRDefault="0071673A"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71673A"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1B72B782" w14:textId="1AF6AC67" w:rsidR="0071673A" w:rsidRDefault="0071673A" w:rsidP="000770A3">
            <w:pPr>
              <w:jc w:val="center"/>
              <w:rPr>
                <w:rFonts w:ascii="Tahoma" w:hAnsi="Tahoma" w:cs="Tahoma"/>
                <w:sz w:val="22"/>
                <w:szCs w:val="22"/>
              </w:rPr>
            </w:pPr>
            <w:r w:rsidRPr="0071673A">
              <w:rPr>
                <w:rFonts w:ascii="Tahoma" w:hAnsi="Tahoma" w:cs="Tahoma"/>
                <w:sz w:val="22"/>
                <w:szCs w:val="22"/>
              </w:rPr>
              <w:t>Mgr. Richard Štěpán – ředitel</w:t>
            </w:r>
          </w:p>
          <w:p w14:paraId="012A3B76" w14:textId="27C24D8E" w:rsidR="00F11DAD" w:rsidRPr="0071673A" w:rsidRDefault="00F11DAD" w:rsidP="0071673A">
            <w:pPr>
              <w:ind w:left="844" w:hanging="844"/>
              <w:jc w:val="both"/>
              <w:rPr>
                <w:rFonts w:ascii="Tahoma" w:hAnsi="Tahoma" w:cs="Tahoma"/>
                <w:sz w:val="22"/>
                <w:szCs w:val="22"/>
              </w:rPr>
            </w:pP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71673A" w:rsidRDefault="00125CED" w:rsidP="00125CED">
            <w:pPr>
              <w:jc w:val="center"/>
              <w:rPr>
                <w:rFonts w:ascii="Tahoma" w:hAnsi="Tahoma" w:cs="Tahoma"/>
                <w:sz w:val="22"/>
                <w:szCs w:val="22"/>
              </w:rPr>
            </w:pPr>
            <w:r w:rsidRPr="0071673A">
              <w:rPr>
                <w:rFonts w:ascii="Tahoma" w:hAnsi="Tahoma" w:cs="Tahoma"/>
                <w:sz w:val="22"/>
                <w:szCs w:val="22"/>
              </w:rPr>
              <w:t>jméno, příjmení, funkce</w:t>
            </w:r>
          </w:p>
        </w:tc>
      </w:tr>
    </w:tbl>
    <w:p w14:paraId="766BC06D" w14:textId="1BF000D7" w:rsidR="00066D69" w:rsidRDefault="00066D69" w:rsidP="0071673A">
      <w:pPr>
        <w:pStyle w:val="Zkladntext"/>
        <w:tabs>
          <w:tab w:val="clear" w:pos="1418"/>
        </w:tabs>
        <w:spacing w:after="240"/>
        <w:ind w:left="1349" w:hanging="992"/>
        <w:rPr>
          <w:rFonts w:ascii="Tahoma" w:hAnsi="Tahoma" w:cs="Tahoma"/>
          <w:i/>
          <w:iCs/>
          <w:color w:val="FF0000"/>
          <w:sz w:val="22"/>
          <w:szCs w:val="22"/>
        </w:rPr>
      </w:pPr>
    </w:p>
    <w:p w14:paraId="03B79685"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2B6450B7"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4133F904"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46D589BA"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7F5968BF"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3E07BB54"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29078D00"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4EBF3135"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121EC17D" w14:textId="77777777" w:rsidR="00B25793" w:rsidRDefault="00B25793" w:rsidP="0071673A">
      <w:pPr>
        <w:pStyle w:val="Zkladntext"/>
        <w:tabs>
          <w:tab w:val="clear" w:pos="1418"/>
        </w:tabs>
        <w:spacing w:after="240"/>
        <w:ind w:left="1349" w:hanging="992"/>
        <w:rPr>
          <w:rFonts w:ascii="Tahoma" w:hAnsi="Tahoma" w:cs="Tahoma"/>
          <w:i/>
          <w:iCs/>
          <w:color w:val="FF0000"/>
          <w:sz w:val="22"/>
          <w:szCs w:val="22"/>
        </w:rPr>
      </w:pPr>
    </w:p>
    <w:p w14:paraId="0CC0D42C" w14:textId="77777777" w:rsidR="00DD62E9" w:rsidRDefault="00DD62E9" w:rsidP="0071673A">
      <w:pPr>
        <w:pStyle w:val="Zkladntext"/>
        <w:tabs>
          <w:tab w:val="clear" w:pos="1418"/>
        </w:tabs>
        <w:spacing w:after="240"/>
        <w:ind w:left="1349" w:hanging="992"/>
        <w:rPr>
          <w:rFonts w:ascii="Tahoma" w:hAnsi="Tahoma" w:cs="Tahoma"/>
          <w:i/>
          <w:iCs/>
          <w:color w:val="FF0000"/>
          <w:sz w:val="22"/>
          <w:szCs w:val="22"/>
        </w:rPr>
        <w:sectPr w:rsidR="00DD62E9" w:rsidSect="00DD62E9">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1127AC08" w14:textId="77777777" w:rsidR="00F5272E" w:rsidRDefault="00F5272E" w:rsidP="00F5272E">
      <w:r>
        <w:rPr>
          <w:rFonts w:ascii="Arial CE" w:hAnsi="Arial CE" w:cs="Arial CE"/>
          <w:b/>
          <w:bCs/>
        </w:rPr>
        <w:lastRenderedPageBreak/>
        <w:t>Veškeré nabízení zboží musí být kompatibilní s již používanými výukovými moduly ve výuce, případné názvy jsou pouze ilustrační a je možné nabídnout jakékoliv zboží jiné značky splňující technické specifikace a kompatibilitu s již používaným vybavením. Kompatibilitu je možné si ověřit telefonicky, případně v sídle zadavatele.</w:t>
      </w:r>
    </w:p>
    <w:tbl>
      <w:tblPr>
        <w:tblStyle w:val="Mkatabulky"/>
        <w:tblpPr w:leftFromText="141" w:rightFromText="141" w:vertAnchor="text" w:tblpY="1"/>
        <w:tblOverlap w:val="never"/>
        <w:tblW w:w="15728" w:type="dxa"/>
        <w:tblLayout w:type="fixed"/>
        <w:tblLook w:val="04A0" w:firstRow="1" w:lastRow="0" w:firstColumn="1" w:lastColumn="0" w:noHBand="0" w:noVBand="1"/>
      </w:tblPr>
      <w:tblGrid>
        <w:gridCol w:w="704"/>
        <w:gridCol w:w="1762"/>
        <w:gridCol w:w="772"/>
        <w:gridCol w:w="4837"/>
        <w:gridCol w:w="2378"/>
        <w:gridCol w:w="2376"/>
        <w:gridCol w:w="2899"/>
      </w:tblGrid>
      <w:tr w:rsidR="00426897" w:rsidRPr="004738E8" w14:paraId="3A2FE283" w14:textId="77777777" w:rsidTr="00426897">
        <w:tc>
          <w:tcPr>
            <w:tcW w:w="704" w:type="dxa"/>
            <w:shd w:val="clear" w:color="auto" w:fill="C5E0B3" w:themeFill="accent6" w:themeFillTint="66"/>
            <w:vAlign w:val="center"/>
          </w:tcPr>
          <w:p w14:paraId="39FF5785" w14:textId="77777777" w:rsidR="00F5272E" w:rsidRPr="00426897" w:rsidRDefault="00F5272E" w:rsidP="00F5272E">
            <w:pPr>
              <w:rPr>
                <w:rFonts w:cstheme="minorHAnsi"/>
                <w:b/>
                <w:bCs/>
                <w:sz w:val="22"/>
                <w:szCs w:val="22"/>
              </w:rPr>
            </w:pPr>
            <w:r w:rsidRPr="00426897">
              <w:rPr>
                <w:rFonts w:cstheme="minorHAnsi"/>
                <w:b/>
                <w:bCs/>
                <w:sz w:val="22"/>
                <w:szCs w:val="22"/>
              </w:rPr>
              <w:t>Číslo položky</w:t>
            </w:r>
          </w:p>
        </w:tc>
        <w:tc>
          <w:tcPr>
            <w:tcW w:w="1762" w:type="dxa"/>
            <w:shd w:val="clear" w:color="auto" w:fill="C5E0B3" w:themeFill="accent6" w:themeFillTint="66"/>
            <w:vAlign w:val="center"/>
          </w:tcPr>
          <w:p w14:paraId="13CD4E07" w14:textId="77777777" w:rsidR="00F5272E" w:rsidRPr="00B462F7" w:rsidRDefault="00F5272E" w:rsidP="00F5272E">
            <w:pPr>
              <w:rPr>
                <w:rFonts w:cstheme="minorHAnsi"/>
                <w:b/>
                <w:bCs/>
              </w:rPr>
            </w:pPr>
            <w:r w:rsidRPr="00B462F7">
              <w:rPr>
                <w:rFonts w:cstheme="minorHAnsi"/>
                <w:b/>
                <w:bCs/>
              </w:rPr>
              <w:t>Označení</w:t>
            </w:r>
          </w:p>
        </w:tc>
        <w:tc>
          <w:tcPr>
            <w:tcW w:w="772" w:type="dxa"/>
            <w:shd w:val="clear" w:color="auto" w:fill="C5E0B3" w:themeFill="accent6" w:themeFillTint="66"/>
            <w:vAlign w:val="center"/>
          </w:tcPr>
          <w:p w14:paraId="46372BAC" w14:textId="77777777" w:rsidR="00F5272E" w:rsidRPr="00B462F7" w:rsidRDefault="00F5272E" w:rsidP="00F5272E">
            <w:pPr>
              <w:rPr>
                <w:rFonts w:cstheme="minorHAnsi"/>
                <w:b/>
                <w:bCs/>
              </w:rPr>
            </w:pPr>
            <w:r w:rsidRPr="00B462F7">
              <w:rPr>
                <w:rFonts w:cstheme="minorHAnsi"/>
                <w:b/>
                <w:bCs/>
              </w:rPr>
              <w:t>Počet kusů</w:t>
            </w:r>
          </w:p>
        </w:tc>
        <w:tc>
          <w:tcPr>
            <w:tcW w:w="4837" w:type="dxa"/>
            <w:shd w:val="clear" w:color="auto" w:fill="C5E0B3" w:themeFill="accent6" w:themeFillTint="66"/>
            <w:vAlign w:val="center"/>
          </w:tcPr>
          <w:p w14:paraId="4D934A1D" w14:textId="77777777" w:rsidR="00F5272E" w:rsidRPr="00B462F7" w:rsidRDefault="00F5272E" w:rsidP="00F5272E">
            <w:pPr>
              <w:jc w:val="center"/>
              <w:rPr>
                <w:rFonts w:cstheme="minorHAnsi"/>
                <w:b/>
                <w:bCs/>
              </w:rPr>
            </w:pPr>
            <w:r w:rsidRPr="00B462F7">
              <w:rPr>
                <w:rFonts w:cstheme="minorHAnsi"/>
                <w:b/>
                <w:bCs/>
              </w:rPr>
              <w:t>Technické specifikace</w:t>
            </w:r>
          </w:p>
        </w:tc>
        <w:tc>
          <w:tcPr>
            <w:tcW w:w="2378" w:type="dxa"/>
            <w:shd w:val="clear" w:color="auto" w:fill="C5E0B3" w:themeFill="accent6" w:themeFillTint="66"/>
          </w:tcPr>
          <w:p w14:paraId="268F1234" w14:textId="77777777" w:rsidR="00F5272E" w:rsidRDefault="00F5272E" w:rsidP="00F5272E">
            <w:pPr>
              <w:ind w:left="377" w:hanging="377"/>
              <w:jc w:val="center"/>
              <w:rPr>
                <w:rFonts w:cstheme="minorHAnsi"/>
                <w:b/>
                <w:bCs/>
              </w:rPr>
            </w:pPr>
            <w:proofErr w:type="spellStart"/>
            <w:r w:rsidRPr="00D74F4A">
              <w:rPr>
                <w:rFonts w:cstheme="minorHAnsi"/>
                <w:b/>
                <w:bCs/>
              </w:rPr>
              <w:t>Jedn</w:t>
            </w:r>
            <w:proofErr w:type="spellEnd"/>
            <w:r w:rsidRPr="00D74F4A">
              <w:rPr>
                <w:rFonts w:cstheme="minorHAnsi"/>
                <w:b/>
                <w:bCs/>
              </w:rPr>
              <w:t xml:space="preserve">. cena </w:t>
            </w:r>
          </w:p>
          <w:p w14:paraId="59BA1C4C" w14:textId="77777777" w:rsidR="00F5272E" w:rsidRPr="00D74F4A" w:rsidRDefault="00F5272E" w:rsidP="00F5272E">
            <w:pPr>
              <w:ind w:left="377" w:hanging="377"/>
              <w:jc w:val="center"/>
              <w:rPr>
                <w:rFonts w:cstheme="minorHAnsi"/>
                <w:b/>
                <w:bCs/>
              </w:rPr>
            </w:pPr>
            <w:r w:rsidRPr="00D74F4A">
              <w:rPr>
                <w:rFonts w:cstheme="minorHAnsi"/>
                <w:b/>
                <w:bCs/>
              </w:rPr>
              <w:t>(bez DPH)</w:t>
            </w:r>
          </w:p>
          <w:p w14:paraId="53DC6D6B" w14:textId="77777777" w:rsidR="00F5272E" w:rsidRPr="00D74F4A" w:rsidRDefault="00F5272E" w:rsidP="00F5272E">
            <w:pPr>
              <w:ind w:left="377" w:hanging="377"/>
              <w:jc w:val="center"/>
              <w:rPr>
                <w:rFonts w:cstheme="minorHAnsi"/>
                <w:b/>
                <w:bCs/>
              </w:rPr>
            </w:pPr>
            <w:r w:rsidRPr="00D74F4A">
              <w:rPr>
                <w:rFonts w:cstheme="minorHAnsi"/>
                <w:b/>
                <w:bCs/>
              </w:rPr>
              <w:t>Kč</w:t>
            </w:r>
          </w:p>
        </w:tc>
        <w:tc>
          <w:tcPr>
            <w:tcW w:w="2376" w:type="dxa"/>
            <w:shd w:val="clear" w:color="auto" w:fill="C5E0B3" w:themeFill="accent6" w:themeFillTint="66"/>
          </w:tcPr>
          <w:p w14:paraId="4A5E8B98" w14:textId="77777777" w:rsidR="00F5272E" w:rsidRDefault="00F5272E" w:rsidP="00F5272E">
            <w:pPr>
              <w:jc w:val="center"/>
              <w:rPr>
                <w:rFonts w:cstheme="minorHAnsi"/>
                <w:b/>
                <w:bCs/>
              </w:rPr>
            </w:pPr>
            <w:r w:rsidRPr="00D74F4A">
              <w:rPr>
                <w:rFonts w:cstheme="minorHAnsi"/>
                <w:b/>
                <w:bCs/>
              </w:rPr>
              <w:t>Cena celkem</w:t>
            </w:r>
          </w:p>
          <w:p w14:paraId="281E2B60" w14:textId="77777777" w:rsidR="00F5272E" w:rsidRPr="00D74F4A" w:rsidRDefault="00F5272E" w:rsidP="00F5272E">
            <w:pPr>
              <w:jc w:val="center"/>
              <w:rPr>
                <w:rFonts w:cstheme="minorHAnsi"/>
                <w:b/>
                <w:bCs/>
              </w:rPr>
            </w:pPr>
            <w:r w:rsidRPr="00D74F4A">
              <w:rPr>
                <w:rFonts w:cstheme="minorHAnsi"/>
                <w:b/>
                <w:bCs/>
              </w:rPr>
              <w:t xml:space="preserve"> (bez DPH)</w:t>
            </w:r>
          </w:p>
          <w:p w14:paraId="2872BD98" w14:textId="77777777" w:rsidR="00F5272E" w:rsidRPr="00D74F4A" w:rsidRDefault="00F5272E" w:rsidP="00F5272E">
            <w:pPr>
              <w:jc w:val="center"/>
              <w:rPr>
                <w:rFonts w:cstheme="minorHAnsi"/>
                <w:b/>
                <w:bCs/>
              </w:rPr>
            </w:pPr>
            <w:r w:rsidRPr="00D74F4A">
              <w:rPr>
                <w:rFonts w:cstheme="minorHAnsi"/>
                <w:b/>
                <w:bCs/>
              </w:rPr>
              <w:t>Kč</w:t>
            </w:r>
          </w:p>
        </w:tc>
        <w:tc>
          <w:tcPr>
            <w:tcW w:w="2899" w:type="dxa"/>
            <w:shd w:val="clear" w:color="auto" w:fill="C5E0B3" w:themeFill="accent6" w:themeFillTint="66"/>
            <w:vAlign w:val="center"/>
          </w:tcPr>
          <w:p w14:paraId="54E04124" w14:textId="77777777" w:rsidR="00F5272E" w:rsidRPr="00D74F4A" w:rsidRDefault="00F5272E" w:rsidP="00F5272E">
            <w:pPr>
              <w:jc w:val="center"/>
              <w:rPr>
                <w:rFonts w:cstheme="minorHAnsi"/>
                <w:b/>
                <w:bCs/>
              </w:rPr>
            </w:pPr>
            <w:r w:rsidRPr="00D74F4A">
              <w:rPr>
                <w:rFonts w:cstheme="minorHAnsi"/>
                <w:b/>
                <w:bCs/>
              </w:rPr>
              <w:t>Nabízené zboží značka, typ, základní specifikace</w:t>
            </w:r>
          </w:p>
        </w:tc>
      </w:tr>
      <w:tr w:rsidR="00426897" w:rsidRPr="00B462F7" w14:paraId="15D7186B" w14:textId="77777777" w:rsidTr="00426897">
        <w:tc>
          <w:tcPr>
            <w:tcW w:w="704" w:type="dxa"/>
            <w:vAlign w:val="center"/>
          </w:tcPr>
          <w:p w14:paraId="5A118CA9" w14:textId="77777777" w:rsidR="00F5272E" w:rsidRPr="00B462F7" w:rsidRDefault="00F5272E" w:rsidP="00F5272E">
            <w:pPr>
              <w:rPr>
                <w:rFonts w:cstheme="minorHAnsi"/>
              </w:rPr>
            </w:pPr>
            <w:r w:rsidRPr="00B462F7">
              <w:rPr>
                <w:rFonts w:cstheme="minorHAnsi"/>
              </w:rPr>
              <w:t>1</w:t>
            </w:r>
          </w:p>
        </w:tc>
        <w:tc>
          <w:tcPr>
            <w:tcW w:w="1762" w:type="dxa"/>
            <w:vAlign w:val="center"/>
          </w:tcPr>
          <w:p w14:paraId="6E4E1DC3" w14:textId="77777777" w:rsidR="00F5272E" w:rsidRPr="00D74F4A" w:rsidRDefault="00F5272E" w:rsidP="00F5272E">
            <w:pPr>
              <w:jc w:val="center"/>
              <w:rPr>
                <w:rFonts w:cstheme="minorHAnsi"/>
                <w:b/>
                <w:bCs/>
              </w:rPr>
            </w:pPr>
            <w:r w:rsidRPr="00D74F4A">
              <w:rPr>
                <w:rFonts w:ascii="Calibri" w:hAnsi="Calibri" w:cs="Calibri"/>
                <w:b/>
                <w:bCs/>
                <w:color w:val="000000"/>
              </w:rPr>
              <w:t xml:space="preserve">Měřicí </w:t>
            </w:r>
            <w:proofErr w:type="gramStart"/>
            <w:r w:rsidRPr="00D74F4A">
              <w:rPr>
                <w:rFonts w:ascii="Calibri" w:hAnsi="Calibri" w:cs="Calibri"/>
                <w:b/>
                <w:bCs/>
                <w:color w:val="000000"/>
              </w:rPr>
              <w:t>jednotka - ADDU</w:t>
            </w:r>
            <w:proofErr w:type="gramEnd"/>
          </w:p>
        </w:tc>
        <w:tc>
          <w:tcPr>
            <w:tcW w:w="772" w:type="dxa"/>
            <w:vAlign w:val="center"/>
          </w:tcPr>
          <w:p w14:paraId="45D8B109" w14:textId="77777777" w:rsidR="00F5272E" w:rsidRPr="00B462F7" w:rsidRDefault="00F5272E" w:rsidP="00F5272E">
            <w:pPr>
              <w:rPr>
                <w:rFonts w:cstheme="minorHAnsi"/>
              </w:rPr>
            </w:pPr>
            <w:r>
              <w:rPr>
                <w:rFonts w:cstheme="minorHAnsi"/>
              </w:rPr>
              <w:t>5</w:t>
            </w:r>
          </w:p>
        </w:tc>
        <w:tc>
          <w:tcPr>
            <w:tcW w:w="4837" w:type="dxa"/>
            <w:vAlign w:val="center"/>
          </w:tcPr>
          <w:p w14:paraId="250C6F07" w14:textId="77777777" w:rsidR="00F5272E" w:rsidRPr="000D4306" w:rsidRDefault="00F5272E" w:rsidP="00F5272E">
            <w:p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Modul ve spojení s počítačem přes rozhraní USB a ovládacím programem zajišťuje měření a generování analogových a číslicových signálů v sedmi měřicích módech: </w:t>
            </w:r>
          </w:p>
          <w:p w14:paraId="690C2154" w14:textId="77777777" w:rsidR="00F5272E" w:rsidRPr="000D4306" w:rsidRDefault="00F5272E" w:rsidP="00F5272E">
            <w:pPr>
              <w:numPr>
                <w:ilvl w:val="0"/>
                <w:numId w:val="31"/>
              </w:num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o Dvoukanálový osciloskop </w:t>
            </w:r>
          </w:p>
          <w:p w14:paraId="11677FCA" w14:textId="77777777" w:rsidR="00F5272E" w:rsidRPr="000D4306" w:rsidRDefault="00F5272E" w:rsidP="00F5272E">
            <w:pPr>
              <w:numPr>
                <w:ilvl w:val="0"/>
                <w:numId w:val="31"/>
              </w:num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o Jednokanálový generátor funkcí a jednokanálový osciloskop </w:t>
            </w:r>
          </w:p>
          <w:p w14:paraId="4A9E2DEA" w14:textId="77777777" w:rsidR="00F5272E" w:rsidRPr="000D4306" w:rsidRDefault="00F5272E" w:rsidP="00F5272E">
            <w:pPr>
              <w:numPr>
                <w:ilvl w:val="0"/>
                <w:numId w:val="31"/>
              </w:num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o Měření voltampérových charakteristik </w:t>
            </w:r>
          </w:p>
          <w:p w14:paraId="3154596D" w14:textId="77777777" w:rsidR="00F5272E" w:rsidRPr="000D4306" w:rsidRDefault="00F5272E" w:rsidP="00F5272E">
            <w:pPr>
              <w:numPr>
                <w:ilvl w:val="0"/>
                <w:numId w:val="31"/>
              </w:num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o Měření amplitudových a fázových frekvenčních charakteristik </w:t>
            </w:r>
          </w:p>
          <w:p w14:paraId="0BF78843" w14:textId="77777777" w:rsidR="00F5272E" w:rsidRPr="000D4306" w:rsidRDefault="00F5272E" w:rsidP="00F5272E">
            <w:pPr>
              <w:numPr>
                <w:ilvl w:val="0"/>
                <w:numId w:val="31"/>
              </w:num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o Osmi kanálový logický analyzátor </w:t>
            </w:r>
          </w:p>
          <w:p w14:paraId="323327C4" w14:textId="77777777" w:rsidR="00F5272E" w:rsidRPr="000D4306" w:rsidRDefault="00F5272E" w:rsidP="00F5272E">
            <w:pPr>
              <w:numPr>
                <w:ilvl w:val="0"/>
                <w:numId w:val="31"/>
              </w:num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o Osmi kanálový logický generátor a osmi kanálový logický analyzátor </w:t>
            </w:r>
          </w:p>
          <w:p w14:paraId="6F89513C" w14:textId="77777777" w:rsidR="00F5272E" w:rsidRPr="000D4306" w:rsidRDefault="00F5272E" w:rsidP="00F5272E">
            <w:pPr>
              <w:numPr>
                <w:ilvl w:val="0"/>
                <w:numId w:val="31"/>
              </w:num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 xml:space="preserve">o Dvoukanálový čítač </w:t>
            </w:r>
          </w:p>
          <w:p w14:paraId="01FE4C22" w14:textId="77777777" w:rsidR="00F5272E" w:rsidRPr="000D4306" w:rsidRDefault="00F5272E" w:rsidP="00F5272E">
            <w:pPr>
              <w:rPr>
                <w:rFonts w:eastAsia="Times New Roman" w:cstheme="minorHAnsi"/>
                <w:color w:val="000000"/>
                <w:kern w:val="0"/>
                <w:lang w:eastAsia="cs-CZ"/>
                <w14:ligatures w14:val="none"/>
              </w:rPr>
            </w:pPr>
          </w:p>
          <w:p w14:paraId="13BB6608" w14:textId="77777777" w:rsidR="00F5272E" w:rsidRDefault="00F5272E" w:rsidP="00F5272E">
            <w:pPr>
              <w:rPr>
                <w:rFonts w:eastAsia="Times New Roman" w:cstheme="minorHAnsi"/>
                <w:color w:val="000000"/>
                <w:kern w:val="0"/>
                <w:lang w:eastAsia="cs-CZ"/>
                <w14:ligatures w14:val="none"/>
              </w:rPr>
            </w:pPr>
            <w:r w:rsidRPr="000D4306">
              <w:rPr>
                <w:rFonts w:eastAsia="Times New Roman" w:cstheme="minorHAnsi"/>
                <w:color w:val="000000"/>
                <w:kern w:val="0"/>
                <w:lang w:eastAsia="cs-CZ"/>
                <w14:ligatures w14:val="none"/>
              </w:rPr>
              <w:t>Pro zajištění uvedených funkcí obsahuje modul dva diferenciální analogové vstupy (vstupní odpor 10MΩ/50pF, napěťový rozsah ±100mV až ±</w:t>
            </w:r>
            <w:proofErr w:type="gramStart"/>
            <w:r w:rsidRPr="000D4306">
              <w:rPr>
                <w:rFonts w:eastAsia="Times New Roman" w:cstheme="minorHAnsi"/>
                <w:color w:val="000000"/>
                <w:kern w:val="0"/>
                <w:lang w:eastAsia="cs-CZ"/>
                <w14:ligatures w14:val="none"/>
              </w:rPr>
              <w:t>10V</w:t>
            </w:r>
            <w:proofErr w:type="gramEnd"/>
            <w:r w:rsidRPr="000D4306">
              <w:rPr>
                <w:rFonts w:eastAsia="Times New Roman" w:cstheme="minorHAnsi"/>
                <w:color w:val="000000"/>
                <w:kern w:val="0"/>
                <w:lang w:eastAsia="cs-CZ"/>
                <w14:ligatures w14:val="none"/>
              </w:rPr>
              <w:t>, frekvenční rozsah 0 až 10kHz (0,1 dB), ochrana vstupů proti přepětí do ±</w:t>
            </w:r>
            <w:proofErr w:type="gramStart"/>
            <w:r w:rsidRPr="000D4306">
              <w:rPr>
                <w:rFonts w:eastAsia="Times New Roman" w:cstheme="minorHAnsi"/>
                <w:color w:val="000000"/>
                <w:kern w:val="0"/>
                <w:lang w:eastAsia="cs-CZ"/>
                <w14:ligatures w14:val="none"/>
              </w:rPr>
              <w:t>40V</w:t>
            </w:r>
            <w:proofErr w:type="gramEnd"/>
            <w:r w:rsidRPr="000D4306">
              <w:rPr>
                <w:rFonts w:eastAsia="Times New Roman" w:cstheme="minorHAnsi"/>
                <w:color w:val="000000"/>
                <w:kern w:val="0"/>
                <w:lang w:eastAsia="cs-CZ"/>
                <w14:ligatures w14:val="none"/>
              </w:rPr>
              <w:t>). Analogový výstup rozsah bipolární ±100mV až ±</w:t>
            </w:r>
            <w:proofErr w:type="gramStart"/>
            <w:r w:rsidRPr="000D4306">
              <w:rPr>
                <w:rFonts w:eastAsia="Times New Roman" w:cstheme="minorHAnsi"/>
                <w:color w:val="000000"/>
                <w:kern w:val="0"/>
                <w:lang w:eastAsia="cs-CZ"/>
                <w14:ligatures w14:val="none"/>
              </w:rPr>
              <w:t>10V</w:t>
            </w:r>
            <w:proofErr w:type="gramEnd"/>
            <w:r w:rsidRPr="000D4306">
              <w:rPr>
                <w:rFonts w:eastAsia="Times New Roman" w:cstheme="minorHAnsi"/>
                <w:color w:val="000000"/>
                <w:kern w:val="0"/>
                <w:lang w:eastAsia="cs-CZ"/>
                <w14:ligatures w14:val="none"/>
              </w:rPr>
              <w:t xml:space="preserve">, unipolární 100mV až </w:t>
            </w:r>
            <w:proofErr w:type="gramStart"/>
            <w:r w:rsidRPr="000D4306">
              <w:rPr>
                <w:rFonts w:eastAsia="Times New Roman" w:cstheme="minorHAnsi"/>
                <w:color w:val="000000"/>
                <w:kern w:val="0"/>
                <w:lang w:eastAsia="cs-CZ"/>
                <w14:ligatures w14:val="none"/>
              </w:rPr>
              <w:t>10V</w:t>
            </w:r>
            <w:proofErr w:type="gramEnd"/>
            <w:r w:rsidRPr="000D4306">
              <w:rPr>
                <w:rFonts w:eastAsia="Times New Roman" w:cstheme="minorHAnsi"/>
                <w:color w:val="000000"/>
                <w:kern w:val="0"/>
                <w:lang w:eastAsia="cs-CZ"/>
                <w14:ligatures w14:val="none"/>
              </w:rPr>
              <w:t xml:space="preserve">, výstupní odpor </w:t>
            </w:r>
            <w:proofErr w:type="gramStart"/>
            <w:r w:rsidRPr="000D4306">
              <w:rPr>
                <w:rFonts w:eastAsia="Times New Roman" w:cstheme="minorHAnsi"/>
                <w:color w:val="000000"/>
                <w:kern w:val="0"/>
                <w:lang w:eastAsia="cs-CZ"/>
                <w14:ligatures w14:val="none"/>
              </w:rPr>
              <w:t>&lt; 0</w:t>
            </w:r>
            <w:proofErr w:type="gramEnd"/>
            <w:r w:rsidRPr="000D4306">
              <w:rPr>
                <w:rFonts w:eastAsia="Times New Roman" w:cstheme="minorHAnsi"/>
                <w:color w:val="000000"/>
                <w:kern w:val="0"/>
                <w:lang w:eastAsia="cs-CZ"/>
                <w14:ligatures w14:val="none"/>
              </w:rPr>
              <w:t>,1</w:t>
            </w:r>
            <w:proofErr w:type="gramStart"/>
            <w:r w:rsidRPr="000D4306">
              <w:rPr>
                <w:rFonts w:eastAsia="Times New Roman" w:cstheme="minorHAnsi"/>
                <w:color w:val="000000"/>
                <w:kern w:val="0"/>
                <w:lang w:eastAsia="cs-CZ"/>
                <w14:ligatures w14:val="none"/>
              </w:rPr>
              <w:t>Ω - ideální</w:t>
            </w:r>
            <w:proofErr w:type="gramEnd"/>
            <w:r w:rsidRPr="000D4306">
              <w:rPr>
                <w:rFonts w:eastAsia="Times New Roman" w:cstheme="minorHAnsi"/>
                <w:color w:val="000000"/>
                <w:kern w:val="0"/>
                <w:lang w:eastAsia="cs-CZ"/>
                <w14:ligatures w14:val="none"/>
              </w:rPr>
              <w:t xml:space="preserve"> zdroj </w:t>
            </w:r>
            <w:proofErr w:type="gramStart"/>
            <w:r w:rsidRPr="000D4306">
              <w:rPr>
                <w:rFonts w:eastAsia="Times New Roman" w:cstheme="minorHAnsi"/>
                <w:color w:val="000000"/>
                <w:kern w:val="0"/>
                <w:lang w:eastAsia="cs-CZ"/>
                <w14:ligatures w14:val="none"/>
              </w:rPr>
              <w:t>napětí - při</w:t>
            </w:r>
            <w:proofErr w:type="gramEnd"/>
            <w:r w:rsidRPr="000D4306">
              <w:rPr>
                <w:rFonts w:eastAsia="Times New Roman" w:cstheme="minorHAnsi"/>
                <w:color w:val="000000"/>
                <w:kern w:val="0"/>
                <w:lang w:eastAsia="cs-CZ"/>
                <w14:ligatures w14:val="none"/>
              </w:rPr>
              <w:t xml:space="preserve"> výstupním proudu do 20 mA, frekvenční rozsah 0-10 kHz při poklesu o 0,1dB). Osm digitálních vstupů a výstupů standardu TTL s indikací stavu </w:t>
            </w:r>
            <w:r w:rsidRPr="000D4306">
              <w:rPr>
                <w:rFonts w:eastAsia="Times New Roman" w:cstheme="minorHAnsi"/>
                <w:color w:val="000000"/>
                <w:kern w:val="0"/>
                <w:lang w:eastAsia="cs-CZ"/>
                <w14:ligatures w14:val="none"/>
              </w:rPr>
              <w:lastRenderedPageBreak/>
              <w:t xml:space="preserve">dvěma LED pro každý vstup i výstup (zelená pro log. 0, červená pro log. 1). 2 čítačové vstupy, </w:t>
            </w:r>
            <w:proofErr w:type="spellStart"/>
            <w:r w:rsidRPr="000D4306">
              <w:rPr>
                <w:rFonts w:eastAsia="Times New Roman" w:cstheme="minorHAnsi"/>
                <w:color w:val="000000"/>
                <w:kern w:val="0"/>
                <w:lang w:eastAsia="cs-CZ"/>
                <w14:ligatures w14:val="none"/>
              </w:rPr>
              <w:t>Trigger</w:t>
            </w:r>
            <w:proofErr w:type="spellEnd"/>
            <w:r w:rsidRPr="000D4306">
              <w:rPr>
                <w:rFonts w:eastAsia="Times New Roman" w:cstheme="minorHAnsi"/>
                <w:color w:val="000000"/>
                <w:kern w:val="0"/>
                <w:lang w:eastAsia="cs-CZ"/>
                <w14:ligatures w14:val="none"/>
              </w:rPr>
              <w:t xml:space="preserve">, výstupy </w:t>
            </w:r>
            <w:proofErr w:type="spellStart"/>
            <w:r w:rsidRPr="000D4306">
              <w:rPr>
                <w:rFonts w:eastAsia="Times New Roman" w:cstheme="minorHAnsi"/>
                <w:color w:val="000000"/>
                <w:kern w:val="0"/>
                <w:lang w:eastAsia="cs-CZ"/>
                <w14:ligatures w14:val="none"/>
              </w:rPr>
              <w:t>Clk</w:t>
            </w:r>
            <w:proofErr w:type="spellEnd"/>
            <w:r w:rsidRPr="000D4306">
              <w:rPr>
                <w:rFonts w:eastAsia="Times New Roman" w:cstheme="minorHAnsi"/>
                <w:color w:val="000000"/>
                <w:kern w:val="0"/>
                <w:lang w:eastAsia="cs-CZ"/>
                <w14:ligatures w14:val="none"/>
              </w:rPr>
              <w:t xml:space="preserve">, Start, Stop, Busy. Indikace měřicích módů pomocí žluté LED. Vzorkování analogových i digitálních signálů stejná a činí </w:t>
            </w:r>
            <w:proofErr w:type="gramStart"/>
            <w:r w:rsidRPr="000D4306">
              <w:rPr>
                <w:rFonts w:eastAsia="Times New Roman" w:cstheme="minorHAnsi"/>
                <w:color w:val="000000"/>
                <w:kern w:val="0"/>
                <w:lang w:eastAsia="cs-CZ"/>
                <w14:ligatures w14:val="none"/>
              </w:rPr>
              <w:t>1S</w:t>
            </w:r>
            <w:proofErr w:type="gramEnd"/>
            <w:r w:rsidRPr="000D4306">
              <w:rPr>
                <w:rFonts w:eastAsia="Times New Roman" w:cstheme="minorHAnsi"/>
                <w:color w:val="000000"/>
                <w:kern w:val="0"/>
                <w:lang w:eastAsia="cs-CZ"/>
                <w14:ligatures w14:val="none"/>
              </w:rPr>
              <w:t>/s až 1MS/s při 500 zobrazených vzorcích na jeden odměr. Připojení k PC přes USB.</w:t>
            </w:r>
          </w:p>
          <w:p w14:paraId="174604CC" w14:textId="77777777" w:rsidR="00F5272E" w:rsidRPr="00B462F7" w:rsidRDefault="00F5272E" w:rsidP="00F5272E">
            <w:pPr>
              <w:rPr>
                <w:rFonts w:eastAsia="Times New Roman" w:cstheme="minorHAnsi"/>
                <w:color w:val="000000"/>
                <w:kern w:val="0"/>
                <w:lang w:eastAsia="cs-CZ"/>
                <w14:ligatures w14:val="none"/>
              </w:rPr>
            </w:pPr>
          </w:p>
        </w:tc>
        <w:tc>
          <w:tcPr>
            <w:tcW w:w="2378" w:type="dxa"/>
          </w:tcPr>
          <w:p w14:paraId="7432BFF3" w14:textId="77777777" w:rsidR="00F5272E" w:rsidRPr="00B462F7" w:rsidRDefault="00F5272E" w:rsidP="00F5272E">
            <w:pPr>
              <w:rPr>
                <w:rFonts w:eastAsia="Times New Roman" w:cstheme="minorHAnsi"/>
                <w:color w:val="000000"/>
                <w:kern w:val="0"/>
                <w:lang w:eastAsia="cs-CZ"/>
                <w14:ligatures w14:val="none"/>
              </w:rPr>
            </w:pPr>
          </w:p>
        </w:tc>
        <w:tc>
          <w:tcPr>
            <w:tcW w:w="2376" w:type="dxa"/>
          </w:tcPr>
          <w:p w14:paraId="59FAD62C" w14:textId="77777777" w:rsidR="00F5272E" w:rsidRPr="00B462F7" w:rsidRDefault="00F5272E" w:rsidP="00F5272E">
            <w:pPr>
              <w:rPr>
                <w:rFonts w:eastAsia="Times New Roman" w:cstheme="minorHAnsi"/>
                <w:color w:val="000000"/>
                <w:kern w:val="0"/>
                <w:lang w:eastAsia="cs-CZ"/>
                <w14:ligatures w14:val="none"/>
              </w:rPr>
            </w:pPr>
          </w:p>
        </w:tc>
        <w:tc>
          <w:tcPr>
            <w:tcW w:w="2899" w:type="dxa"/>
            <w:vAlign w:val="center"/>
          </w:tcPr>
          <w:p w14:paraId="06F72A6F" w14:textId="77777777" w:rsidR="00F5272E" w:rsidRPr="00B462F7" w:rsidRDefault="00F5272E" w:rsidP="00F5272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 xml:space="preserve"> </w:t>
            </w:r>
          </w:p>
          <w:p w14:paraId="53238CA3" w14:textId="77777777" w:rsidR="00F5272E" w:rsidRPr="00B462F7" w:rsidRDefault="00F5272E" w:rsidP="00F5272E">
            <w:pPr>
              <w:rPr>
                <w:rFonts w:eastAsia="Times New Roman" w:cstheme="minorHAnsi"/>
                <w:color w:val="000000"/>
                <w:kern w:val="0"/>
                <w:lang w:eastAsia="cs-CZ"/>
                <w14:ligatures w14:val="none"/>
              </w:rPr>
            </w:pPr>
          </w:p>
        </w:tc>
      </w:tr>
      <w:tr w:rsidR="00426897" w:rsidRPr="00B462F7" w14:paraId="3334054D" w14:textId="77777777" w:rsidTr="00426897">
        <w:tc>
          <w:tcPr>
            <w:tcW w:w="704" w:type="dxa"/>
            <w:vAlign w:val="center"/>
          </w:tcPr>
          <w:p w14:paraId="77D0741E" w14:textId="77777777" w:rsidR="00F5272E" w:rsidRPr="00B462F7" w:rsidRDefault="00F5272E" w:rsidP="00F5272E">
            <w:pPr>
              <w:rPr>
                <w:rFonts w:cstheme="minorHAnsi"/>
              </w:rPr>
            </w:pPr>
            <w:r w:rsidRPr="00B462F7">
              <w:rPr>
                <w:rFonts w:cstheme="minorHAnsi"/>
              </w:rPr>
              <w:t>2</w:t>
            </w:r>
          </w:p>
        </w:tc>
        <w:tc>
          <w:tcPr>
            <w:tcW w:w="1762" w:type="dxa"/>
            <w:vAlign w:val="center"/>
          </w:tcPr>
          <w:p w14:paraId="1303AC65" w14:textId="77777777" w:rsidR="00F5272E" w:rsidRPr="00D74F4A" w:rsidRDefault="00F5272E" w:rsidP="00F5272E">
            <w:pPr>
              <w:jc w:val="center"/>
              <w:rPr>
                <w:rFonts w:ascii="Calibri" w:hAnsi="Calibri" w:cs="Calibri"/>
                <w:b/>
                <w:bCs/>
                <w:color w:val="000000"/>
              </w:rPr>
            </w:pPr>
            <w:r w:rsidRPr="00D74F4A">
              <w:rPr>
                <w:rFonts w:ascii="Calibri" w:hAnsi="Calibri" w:cs="Calibri"/>
                <w:b/>
                <w:bCs/>
                <w:color w:val="000000"/>
              </w:rPr>
              <w:t>Program</w:t>
            </w:r>
          </w:p>
        </w:tc>
        <w:tc>
          <w:tcPr>
            <w:tcW w:w="772" w:type="dxa"/>
            <w:vAlign w:val="center"/>
          </w:tcPr>
          <w:p w14:paraId="0EF95E29" w14:textId="77777777" w:rsidR="00F5272E" w:rsidRPr="00B462F7" w:rsidRDefault="00F5272E" w:rsidP="00F5272E">
            <w:pPr>
              <w:rPr>
                <w:rFonts w:cstheme="minorHAnsi"/>
              </w:rPr>
            </w:pPr>
            <w:r>
              <w:rPr>
                <w:rFonts w:cstheme="minorHAnsi"/>
              </w:rPr>
              <w:t>5</w:t>
            </w:r>
          </w:p>
        </w:tc>
        <w:tc>
          <w:tcPr>
            <w:tcW w:w="4837" w:type="dxa"/>
            <w:vAlign w:val="center"/>
          </w:tcPr>
          <w:p w14:paraId="0F9DF89B" w14:textId="77777777" w:rsidR="00F5272E" w:rsidRPr="002F1B7F" w:rsidRDefault="00F5272E" w:rsidP="00F5272E">
            <w:pPr>
              <w:rPr>
                <w:rFonts w:cstheme="minorHAnsi"/>
              </w:rPr>
            </w:pPr>
            <w:r w:rsidRPr="002F1B7F">
              <w:rPr>
                <w:rFonts w:cstheme="minorHAnsi"/>
              </w:rPr>
              <w:t xml:space="preserve">Ovládací software spolu s měřicí jednotkou propojenou s počítačem umožňuje měřit a generovat analogové a číslicové signály. Zajišťuje přehledné a názorné zobrazení měřených dat různými způsoby prezentace a jejich kombinacemi v časové i frekvenční oblasti. Zajišťuje analýzu naměřených a generovaných dat, matematické operace s daty, automatický výpočet parametrů měření a diagnostiku správnosti měření. Program kromě „standardního“ měření umožňuje sekvenční paměťový záznam čtyř po sobě jdoucích synchronizovaných měření s diagnostikou do jednoho </w:t>
            </w:r>
            <w:proofErr w:type="gramStart"/>
            <w:r w:rsidRPr="002F1B7F">
              <w:rPr>
                <w:rFonts w:cstheme="minorHAnsi"/>
              </w:rPr>
              <w:t>zobrazení - měření</w:t>
            </w:r>
            <w:proofErr w:type="gramEnd"/>
            <w:r w:rsidRPr="002F1B7F">
              <w:rPr>
                <w:rFonts w:cstheme="minorHAnsi"/>
              </w:rPr>
              <w:t xml:space="preserve"> v různých místech obvodu nebo jeho změnách (měření trendu). Ovládací software zajišťuje archivaci dat v počítači a tím umožňuje využití řady funkcí operačního systému (snadný tisk, možnost využití projektoru, export do jiných </w:t>
            </w:r>
            <w:proofErr w:type="gramStart"/>
            <w:r w:rsidRPr="002F1B7F">
              <w:rPr>
                <w:rFonts w:cstheme="minorHAnsi"/>
              </w:rPr>
              <w:t>programů,…</w:t>
            </w:r>
            <w:proofErr w:type="gramEnd"/>
            <w:r w:rsidRPr="002F1B7F">
              <w:rPr>
                <w:rFonts w:cstheme="minorHAnsi"/>
              </w:rPr>
              <w:t xml:space="preserve">). </w:t>
            </w:r>
          </w:p>
          <w:p w14:paraId="3A56FE24" w14:textId="77777777" w:rsidR="00F5272E" w:rsidRPr="002F1B7F" w:rsidRDefault="00F5272E" w:rsidP="00F5272E">
            <w:pPr>
              <w:rPr>
                <w:rFonts w:cstheme="minorHAnsi"/>
              </w:rPr>
            </w:pPr>
            <w:r w:rsidRPr="002F1B7F">
              <w:rPr>
                <w:rFonts w:cstheme="minorHAnsi"/>
              </w:rPr>
              <w:t xml:space="preserve">Možnost výběru ze sedmi měřicích módů podle měřicí jednotky: </w:t>
            </w:r>
          </w:p>
          <w:p w14:paraId="36608EE2" w14:textId="77777777" w:rsidR="00F5272E" w:rsidRPr="002F1B7F" w:rsidRDefault="00F5272E" w:rsidP="00F5272E">
            <w:pPr>
              <w:rPr>
                <w:rFonts w:cstheme="minorHAnsi"/>
              </w:rPr>
            </w:pPr>
            <w:r w:rsidRPr="002F1B7F">
              <w:rPr>
                <w:rFonts w:cstheme="minorHAnsi"/>
              </w:rPr>
              <w:lastRenderedPageBreak/>
              <w:t xml:space="preserve">Současné zobrazení generovaného a naměřeného průběhu. Analogový výstup s možností generování uživatelského průběhu, editace pomocí myši a použití předem definovaných průběhů. Sekvenční paměťové synchronizované měření. Příloha 2 </w:t>
            </w:r>
          </w:p>
          <w:p w14:paraId="31564BD8" w14:textId="77777777" w:rsidR="00F5272E" w:rsidRPr="002F1B7F" w:rsidRDefault="00F5272E" w:rsidP="00F5272E">
            <w:pPr>
              <w:numPr>
                <w:ilvl w:val="1"/>
                <w:numId w:val="32"/>
              </w:numPr>
              <w:rPr>
                <w:rFonts w:cstheme="minorHAnsi"/>
              </w:rPr>
            </w:pPr>
            <w:r w:rsidRPr="002F1B7F">
              <w:rPr>
                <w:rFonts w:cstheme="minorHAnsi"/>
              </w:rPr>
              <w:t>o Měření voltampérových charakteristik. Volba snímacího odporu (měření proudu). Nastavení výstupního rozmítaného napětí (-</w:t>
            </w:r>
            <w:proofErr w:type="gramStart"/>
            <w:r w:rsidRPr="002F1B7F">
              <w:rPr>
                <w:rFonts w:cstheme="minorHAnsi"/>
              </w:rPr>
              <w:t>10V</w:t>
            </w:r>
            <w:proofErr w:type="gramEnd"/>
            <w:r w:rsidRPr="002F1B7F">
              <w:rPr>
                <w:rFonts w:cstheme="minorHAnsi"/>
              </w:rPr>
              <w:t xml:space="preserve"> až +</w:t>
            </w:r>
            <w:proofErr w:type="gramStart"/>
            <w:r w:rsidRPr="002F1B7F">
              <w:rPr>
                <w:rFonts w:cstheme="minorHAnsi"/>
              </w:rPr>
              <w:t>10V</w:t>
            </w:r>
            <w:proofErr w:type="gramEnd"/>
            <w:r w:rsidRPr="002F1B7F">
              <w:rPr>
                <w:rFonts w:cstheme="minorHAnsi"/>
              </w:rPr>
              <w:t xml:space="preserve">) a doby měření (0,5ms až </w:t>
            </w:r>
            <w:proofErr w:type="gramStart"/>
            <w:r w:rsidRPr="002F1B7F">
              <w:rPr>
                <w:rFonts w:cstheme="minorHAnsi"/>
              </w:rPr>
              <w:t>500s</w:t>
            </w:r>
            <w:proofErr w:type="gramEnd"/>
            <w:r w:rsidRPr="002F1B7F">
              <w:rPr>
                <w:rFonts w:cstheme="minorHAnsi"/>
              </w:rPr>
              <w:t xml:space="preserve">). Sekvenční paměťové synchronizované měření. </w:t>
            </w:r>
          </w:p>
          <w:p w14:paraId="56A86BD8" w14:textId="77777777" w:rsidR="00F5272E" w:rsidRPr="002F1B7F" w:rsidRDefault="00F5272E" w:rsidP="00F5272E">
            <w:pPr>
              <w:numPr>
                <w:ilvl w:val="1"/>
                <w:numId w:val="32"/>
              </w:numPr>
              <w:rPr>
                <w:rFonts w:cstheme="minorHAnsi"/>
              </w:rPr>
            </w:pPr>
            <w:r w:rsidRPr="002F1B7F">
              <w:rPr>
                <w:rFonts w:cstheme="minorHAnsi"/>
              </w:rPr>
              <w:t xml:space="preserve">o Měření amplitudových a fázových frekvenčních charakteristik. Frekvenční rozsah </w:t>
            </w:r>
            <w:proofErr w:type="gramStart"/>
            <w:r w:rsidRPr="002F1B7F">
              <w:rPr>
                <w:rFonts w:cstheme="minorHAnsi"/>
              </w:rPr>
              <w:t>10Hz</w:t>
            </w:r>
            <w:proofErr w:type="gramEnd"/>
            <w:r w:rsidRPr="002F1B7F">
              <w:rPr>
                <w:rFonts w:cstheme="minorHAnsi"/>
              </w:rPr>
              <w:t xml:space="preserve"> až 10 kHz. Rozsah měřicího signálu 100 </w:t>
            </w:r>
            <w:proofErr w:type="spellStart"/>
            <w:r w:rsidRPr="002F1B7F">
              <w:rPr>
                <w:rFonts w:cstheme="minorHAnsi"/>
              </w:rPr>
              <w:t>mV</w:t>
            </w:r>
            <w:proofErr w:type="spellEnd"/>
            <w:r w:rsidRPr="002F1B7F">
              <w:rPr>
                <w:rFonts w:cstheme="minorHAnsi"/>
              </w:rPr>
              <w:t xml:space="preserve"> – 10 V. Rozsah amplitudové charakteristiky ±</w:t>
            </w:r>
            <w:proofErr w:type="gramStart"/>
            <w:r w:rsidRPr="002F1B7F">
              <w:rPr>
                <w:rFonts w:cstheme="minorHAnsi"/>
              </w:rPr>
              <w:t>45dB</w:t>
            </w:r>
            <w:proofErr w:type="gramEnd"/>
            <w:r w:rsidRPr="002F1B7F">
              <w:rPr>
                <w:rFonts w:cstheme="minorHAnsi"/>
              </w:rPr>
              <w:t xml:space="preserve">, fázové charakteristiky v rozsahu ±180°. Možnost současného zobrazení amplitudové a fázové charakteristiky, možnost zobrazení v komplexní rovině. Sekvenční paměťové synchronizované měření. </w:t>
            </w:r>
          </w:p>
          <w:p w14:paraId="163E1729" w14:textId="77777777" w:rsidR="00F5272E" w:rsidRPr="002F1B7F" w:rsidRDefault="00F5272E" w:rsidP="00F5272E">
            <w:pPr>
              <w:numPr>
                <w:ilvl w:val="1"/>
                <w:numId w:val="32"/>
              </w:numPr>
              <w:rPr>
                <w:rFonts w:cstheme="minorHAnsi"/>
              </w:rPr>
            </w:pPr>
            <w:r w:rsidRPr="002F1B7F">
              <w:rPr>
                <w:rFonts w:cstheme="minorHAnsi"/>
              </w:rPr>
              <w:t xml:space="preserve">o Osmi kanálový logický analyzátor. </w:t>
            </w:r>
            <w:proofErr w:type="spellStart"/>
            <w:r w:rsidRPr="002F1B7F">
              <w:rPr>
                <w:rFonts w:cstheme="minorHAnsi"/>
              </w:rPr>
              <w:t>Trigger</w:t>
            </w:r>
            <w:proofErr w:type="spellEnd"/>
            <w:r w:rsidRPr="002F1B7F">
              <w:rPr>
                <w:rFonts w:cstheme="minorHAnsi"/>
              </w:rPr>
              <w:t xml:space="preserve"> interní (osmibitové slovo) nebo externí, přehledné zobrazení každé stopy (logická „0“ zeleně a logická „1“ červeně), kurzorová analýza. </w:t>
            </w:r>
          </w:p>
          <w:p w14:paraId="670B43A1" w14:textId="77777777" w:rsidR="00F5272E" w:rsidRPr="002F1B7F" w:rsidRDefault="00F5272E" w:rsidP="00F5272E">
            <w:pPr>
              <w:numPr>
                <w:ilvl w:val="1"/>
                <w:numId w:val="32"/>
              </w:numPr>
              <w:rPr>
                <w:rFonts w:cstheme="minorHAnsi"/>
              </w:rPr>
            </w:pPr>
            <w:r w:rsidRPr="002F1B7F">
              <w:rPr>
                <w:rFonts w:cstheme="minorHAnsi"/>
              </w:rPr>
              <w:t xml:space="preserve">o Osmi kanálový logický generátor a osmi kanálový logický analyzátor. </w:t>
            </w:r>
          </w:p>
          <w:p w14:paraId="362E591F" w14:textId="77777777" w:rsidR="00F5272E" w:rsidRPr="00D86D5B" w:rsidRDefault="00F5272E" w:rsidP="00F5272E">
            <w:pPr>
              <w:numPr>
                <w:ilvl w:val="1"/>
                <w:numId w:val="32"/>
              </w:numPr>
              <w:rPr>
                <w:rFonts w:cstheme="minorHAnsi"/>
              </w:rPr>
            </w:pPr>
            <w:r w:rsidRPr="002F1B7F">
              <w:rPr>
                <w:rFonts w:cstheme="minorHAnsi"/>
              </w:rPr>
              <w:t xml:space="preserve">o Dvoukanálový čítač. </w:t>
            </w:r>
          </w:p>
          <w:p w14:paraId="2B1DC7BD" w14:textId="77777777" w:rsidR="00F5272E" w:rsidRPr="002F1B7F" w:rsidRDefault="00F5272E" w:rsidP="00F5272E">
            <w:pPr>
              <w:rPr>
                <w:rFonts w:cstheme="minorHAnsi"/>
              </w:rPr>
            </w:pPr>
            <w:r w:rsidRPr="002F1B7F">
              <w:rPr>
                <w:rFonts w:cstheme="minorHAnsi"/>
              </w:rPr>
              <w:t xml:space="preserve">Současné zobrazení generovaných a naměřených osmibitových průběhů. Editace libovolných výstupních dat pomocí myši, </w:t>
            </w:r>
            <w:r w:rsidRPr="002F1B7F">
              <w:rPr>
                <w:rFonts w:cstheme="minorHAnsi"/>
              </w:rPr>
              <w:lastRenderedPageBreak/>
              <w:t xml:space="preserve">osmibitového slova nebo po jednotlivých bitech. </w:t>
            </w:r>
          </w:p>
          <w:p w14:paraId="30847075" w14:textId="77777777" w:rsidR="00F5272E" w:rsidRPr="00B462F7" w:rsidRDefault="00F5272E" w:rsidP="00F5272E">
            <w:pPr>
              <w:rPr>
                <w:rFonts w:cstheme="minorHAnsi"/>
              </w:rPr>
            </w:pPr>
            <w:r w:rsidRPr="002F1B7F">
              <w:rPr>
                <w:rFonts w:cstheme="minorHAnsi"/>
              </w:rPr>
              <w:t xml:space="preserve">Současné zobrazení naměřených dat ze dvou kanálů, </w:t>
            </w:r>
            <w:proofErr w:type="gramStart"/>
            <w:r w:rsidRPr="002F1B7F">
              <w:rPr>
                <w:rFonts w:cstheme="minorHAnsi"/>
              </w:rPr>
              <w:t>16 bitové</w:t>
            </w:r>
            <w:proofErr w:type="gramEnd"/>
            <w:r w:rsidRPr="002F1B7F">
              <w:rPr>
                <w:rFonts w:cstheme="minorHAnsi"/>
              </w:rPr>
              <w:t xml:space="preserve"> čítání.</w:t>
            </w:r>
          </w:p>
        </w:tc>
        <w:tc>
          <w:tcPr>
            <w:tcW w:w="2378" w:type="dxa"/>
          </w:tcPr>
          <w:p w14:paraId="63DB0754" w14:textId="77777777" w:rsidR="00F5272E" w:rsidRPr="00B462F7" w:rsidRDefault="00F5272E" w:rsidP="00F5272E">
            <w:pPr>
              <w:rPr>
                <w:rFonts w:eastAsia="Times New Roman" w:cstheme="minorHAnsi"/>
                <w:color w:val="000000"/>
                <w:kern w:val="0"/>
                <w:lang w:eastAsia="cs-CZ"/>
                <w14:ligatures w14:val="none"/>
              </w:rPr>
            </w:pPr>
          </w:p>
        </w:tc>
        <w:tc>
          <w:tcPr>
            <w:tcW w:w="2376" w:type="dxa"/>
          </w:tcPr>
          <w:p w14:paraId="64B4FEA6" w14:textId="77777777" w:rsidR="00F5272E" w:rsidRPr="00B462F7" w:rsidRDefault="00F5272E" w:rsidP="00F5272E">
            <w:pPr>
              <w:rPr>
                <w:rFonts w:eastAsia="Times New Roman" w:cstheme="minorHAnsi"/>
                <w:color w:val="000000"/>
                <w:kern w:val="0"/>
                <w:lang w:eastAsia="cs-CZ"/>
                <w14:ligatures w14:val="none"/>
              </w:rPr>
            </w:pPr>
          </w:p>
        </w:tc>
        <w:tc>
          <w:tcPr>
            <w:tcW w:w="2899" w:type="dxa"/>
            <w:vAlign w:val="center"/>
          </w:tcPr>
          <w:p w14:paraId="0E9A1E0B" w14:textId="77777777" w:rsidR="00F5272E" w:rsidRPr="00B462F7" w:rsidRDefault="00F5272E" w:rsidP="00F5272E">
            <w:pPr>
              <w:rPr>
                <w:rFonts w:eastAsia="Times New Roman" w:cstheme="minorHAnsi"/>
                <w:color w:val="000000"/>
                <w:kern w:val="0"/>
                <w:lang w:eastAsia="cs-CZ"/>
                <w14:ligatures w14:val="none"/>
              </w:rPr>
            </w:pPr>
            <w:r w:rsidRPr="00B462F7">
              <w:rPr>
                <w:rFonts w:eastAsia="Times New Roman" w:cstheme="minorHAnsi"/>
                <w:color w:val="000000"/>
                <w:kern w:val="0"/>
                <w:lang w:eastAsia="cs-CZ"/>
                <w14:ligatures w14:val="none"/>
              </w:rPr>
              <w:t xml:space="preserve"> </w:t>
            </w:r>
          </w:p>
          <w:p w14:paraId="497F4983" w14:textId="77777777" w:rsidR="00F5272E" w:rsidRPr="00B462F7" w:rsidRDefault="00F5272E" w:rsidP="00F5272E">
            <w:pPr>
              <w:rPr>
                <w:rFonts w:eastAsia="Times New Roman" w:cstheme="minorHAnsi"/>
                <w:color w:val="000000"/>
                <w:kern w:val="0"/>
                <w:lang w:eastAsia="cs-CZ"/>
                <w14:ligatures w14:val="none"/>
              </w:rPr>
            </w:pPr>
          </w:p>
        </w:tc>
      </w:tr>
      <w:tr w:rsidR="00426897" w:rsidRPr="00B462F7" w14:paraId="3ABCB847" w14:textId="77777777" w:rsidTr="00426897">
        <w:tc>
          <w:tcPr>
            <w:tcW w:w="704" w:type="dxa"/>
            <w:vAlign w:val="center"/>
          </w:tcPr>
          <w:p w14:paraId="6DBC2539" w14:textId="77777777" w:rsidR="00F5272E" w:rsidRPr="00B462F7" w:rsidRDefault="00F5272E" w:rsidP="00F5272E">
            <w:pPr>
              <w:rPr>
                <w:rFonts w:cstheme="minorHAnsi"/>
              </w:rPr>
            </w:pPr>
            <w:r w:rsidRPr="00B462F7">
              <w:rPr>
                <w:rFonts w:cstheme="minorHAnsi"/>
              </w:rPr>
              <w:lastRenderedPageBreak/>
              <w:t>3</w:t>
            </w:r>
          </w:p>
        </w:tc>
        <w:tc>
          <w:tcPr>
            <w:tcW w:w="1762" w:type="dxa"/>
            <w:vAlign w:val="center"/>
          </w:tcPr>
          <w:p w14:paraId="65ECFC22" w14:textId="77777777" w:rsidR="00F5272E" w:rsidRPr="00B462F7" w:rsidRDefault="00F5272E" w:rsidP="00F5272E">
            <w:pPr>
              <w:jc w:val="center"/>
              <w:rPr>
                <w:rFonts w:cstheme="minorHAnsi"/>
                <w:b/>
                <w:bCs/>
              </w:rPr>
            </w:pPr>
            <w:r w:rsidRPr="00D74F4A">
              <w:rPr>
                <w:rFonts w:ascii="Calibri" w:hAnsi="Calibri" w:cs="Calibri"/>
                <w:b/>
                <w:bCs/>
                <w:color w:val="000000"/>
              </w:rPr>
              <w:t>Modul prvků</w:t>
            </w:r>
          </w:p>
        </w:tc>
        <w:tc>
          <w:tcPr>
            <w:tcW w:w="772" w:type="dxa"/>
            <w:vAlign w:val="center"/>
          </w:tcPr>
          <w:p w14:paraId="4F918B14" w14:textId="77777777" w:rsidR="00F5272E" w:rsidRPr="00B462F7" w:rsidRDefault="00F5272E" w:rsidP="00F5272E">
            <w:pPr>
              <w:rPr>
                <w:rFonts w:cstheme="minorHAnsi"/>
              </w:rPr>
            </w:pPr>
            <w:r>
              <w:rPr>
                <w:rFonts w:cstheme="minorHAnsi"/>
              </w:rPr>
              <w:t>5</w:t>
            </w:r>
          </w:p>
        </w:tc>
        <w:tc>
          <w:tcPr>
            <w:tcW w:w="4837" w:type="dxa"/>
            <w:vAlign w:val="center"/>
          </w:tcPr>
          <w:p w14:paraId="1D91593B" w14:textId="77777777" w:rsidR="00F5272E" w:rsidRPr="002F1B7F" w:rsidRDefault="00F5272E" w:rsidP="00F5272E">
            <w:pPr>
              <w:rPr>
                <w:rFonts w:eastAsia="Times New Roman" w:cstheme="minorHAnsi"/>
                <w:kern w:val="0"/>
                <w:lang w:eastAsia="cs-CZ"/>
                <w14:ligatures w14:val="none"/>
              </w:rPr>
            </w:pPr>
            <w:r w:rsidRPr="002F1B7F">
              <w:rPr>
                <w:rFonts w:eastAsia="Times New Roman" w:cstheme="minorHAnsi"/>
                <w:kern w:val="0"/>
                <w:lang w:eastAsia="cs-CZ"/>
                <w14:ligatures w14:val="none"/>
              </w:rPr>
              <w:t xml:space="preserve">Univerzální propojovací pole. 8 paralelních kombinací zdířek pro dvoukolíkové součástky umožňuje kombinovat paralelní, sériové a můstkové zapojení. Vestavěný zdroj pevného DC napětí </w:t>
            </w:r>
            <w:proofErr w:type="gramStart"/>
            <w:r w:rsidRPr="002F1B7F">
              <w:rPr>
                <w:rFonts w:eastAsia="Times New Roman" w:cstheme="minorHAnsi"/>
                <w:kern w:val="0"/>
                <w:lang w:eastAsia="cs-CZ"/>
                <w14:ligatures w14:val="none"/>
              </w:rPr>
              <w:t>10V</w:t>
            </w:r>
            <w:proofErr w:type="gramEnd"/>
            <w:r w:rsidRPr="002F1B7F">
              <w:rPr>
                <w:rFonts w:eastAsia="Times New Roman" w:cstheme="minorHAnsi"/>
                <w:kern w:val="0"/>
                <w:lang w:eastAsia="cs-CZ"/>
                <w14:ligatures w14:val="none"/>
              </w:rPr>
              <w:t xml:space="preserve"> ±2mV, jemné doladění výstupního napětí v rozsahu ±13mV ±</w:t>
            </w:r>
            <w:proofErr w:type="gramStart"/>
            <w:r w:rsidRPr="002F1B7F">
              <w:rPr>
                <w:rFonts w:eastAsia="Times New Roman" w:cstheme="minorHAnsi"/>
                <w:kern w:val="0"/>
                <w:lang w:eastAsia="cs-CZ"/>
                <w14:ligatures w14:val="none"/>
              </w:rPr>
              <w:t>10%</w:t>
            </w:r>
            <w:proofErr w:type="gramEnd"/>
            <w:r w:rsidRPr="002F1B7F">
              <w:rPr>
                <w:rFonts w:eastAsia="Times New Roman" w:cstheme="minorHAnsi"/>
                <w:kern w:val="0"/>
                <w:lang w:eastAsia="cs-CZ"/>
                <w14:ligatures w14:val="none"/>
              </w:rPr>
              <w:t xml:space="preserve"> v krocích 0,4mV. Možnost připojení vnějšího zdroje. Výstupní proud do ±</w:t>
            </w:r>
            <w:proofErr w:type="gramStart"/>
            <w:r w:rsidRPr="002F1B7F">
              <w:rPr>
                <w:rFonts w:eastAsia="Times New Roman" w:cstheme="minorHAnsi"/>
                <w:kern w:val="0"/>
                <w:lang w:eastAsia="cs-CZ"/>
                <w14:ligatures w14:val="none"/>
              </w:rPr>
              <w:t>22mA</w:t>
            </w:r>
            <w:proofErr w:type="gramEnd"/>
            <w:r w:rsidRPr="002F1B7F">
              <w:rPr>
                <w:rFonts w:eastAsia="Times New Roman" w:cstheme="minorHAnsi"/>
                <w:kern w:val="0"/>
                <w:lang w:eastAsia="cs-CZ"/>
                <w14:ligatures w14:val="none"/>
              </w:rPr>
              <w:t xml:space="preserve">, Rout </w:t>
            </w:r>
            <w:proofErr w:type="gramStart"/>
            <w:r w:rsidRPr="002F1B7F">
              <w:rPr>
                <w:rFonts w:eastAsia="Times New Roman" w:cstheme="minorHAnsi"/>
                <w:kern w:val="0"/>
                <w:lang w:eastAsia="cs-CZ"/>
                <w14:ligatures w14:val="none"/>
              </w:rPr>
              <w:t>&lt; 0</w:t>
            </w:r>
            <w:proofErr w:type="gramEnd"/>
            <w:r w:rsidRPr="002F1B7F">
              <w:rPr>
                <w:rFonts w:eastAsia="Times New Roman" w:cstheme="minorHAnsi"/>
                <w:kern w:val="0"/>
                <w:lang w:eastAsia="cs-CZ"/>
                <w14:ligatures w14:val="none"/>
              </w:rPr>
              <w:t>,1 Ω (ideální zdroj napětí). Galvanicky oddělený výstup chráněný proti přetížení elektronickou pojistkou s indikací.</w:t>
            </w:r>
          </w:p>
        </w:tc>
        <w:tc>
          <w:tcPr>
            <w:tcW w:w="2378" w:type="dxa"/>
          </w:tcPr>
          <w:p w14:paraId="6C18F38A" w14:textId="77777777" w:rsidR="00F5272E" w:rsidRPr="00B462F7" w:rsidRDefault="00F5272E" w:rsidP="00F5272E">
            <w:pPr>
              <w:pStyle w:val="Default"/>
              <w:rPr>
                <w:rFonts w:asciiTheme="minorHAnsi" w:eastAsia="Times New Roman" w:hAnsiTheme="minorHAnsi" w:cstheme="minorHAnsi"/>
                <w:sz w:val="22"/>
                <w:szCs w:val="22"/>
                <w:lang w:eastAsia="cs-CZ"/>
                <w14:ligatures w14:val="none"/>
              </w:rPr>
            </w:pPr>
          </w:p>
        </w:tc>
        <w:tc>
          <w:tcPr>
            <w:tcW w:w="2376" w:type="dxa"/>
          </w:tcPr>
          <w:p w14:paraId="1443DD70" w14:textId="77777777" w:rsidR="00F5272E" w:rsidRPr="00B462F7" w:rsidRDefault="00F5272E" w:rsidP="00F5272E">
            <w:pPr>
              <w:pStyle w:val="Default"/>
              <w:rPr>
                <w:rFonts w:asciiTheme="minorHAnsi" w:eastAsia="Times New Roman" w:hAnsiTheme="minorHAnsi" w:cstheme="minorHAnsi"/>
                <w:sz w:val="22"/>
                <w:szCs w:val="22"/>
                <w:lang w:eastAsia="cs-CZ"/>
                <w14:ligatures w14:val="none"/>
              </w:rPr>
            </w:pPr>
          </w:p>
        </w:tc>
        <w:tc>
          <w:tcPr>
            <w:tcW w:w="2899" w:type="dxa"/>
            <w:vAlign w:val="center"/>
          </w:tcPr>
          <w:p w14:paraId="0A92BF2C" w14:textId="77777777" w:rsidR="00F5272E" w:rsidRPr="00B462F7" w:rsidRDefault="00F5272E" w:rsidP="00F5272E">
            <w:pPr>
              <w:pStyle w:val="Default"/>
              <w:rPr>
                <w:rFonts w:asciiTheme="minorHAnsi" w:eastAsia="Times New Roman" w:hAnsiTheme="minorHAnsi" w:cstheme="minorHAnsi"/>
                <w:sz w:val="22"/>
                <w:szCs w:val="22"/>
                <w:lang w:eastAsia="cs-CZ"/>
                <w14:ligatures w14:val="none"/>
              </w:rPr>
            </w:pPr>
          </w:p>
        </w:tc>
      </w:tr>
      <w:tr w:rsidR="00426897" w:rsidRPr="00B462F7" w14:paraId="68BE0E0A" w14:textId="77777777" w:rsidTr="00426897">
        <w:tc>
          <w:tcPr>
            <w:tcW w:w="704" w:type="dxa"/>
            <w:vAlign w:val="center"/>
          </w:tcPr>
          <w:p w14:paraId="74F64598" w14:textId="77777777" w:rsidR="00F5272E" w:rsidRPr="00B462F7" w:rsidRDefault="00F5272E" w:rsidP="00F5272E">
            <w:pPr>
              <w:rPr>
                <w:rFonts w:cstheme="minorHAnsi"/>
              </w:rPr>
            </w:pPr>
            <w:r w:rsidRPr="00B462F7">
              <w:rPr>
                <w:rFonts w:cstheme="minorHAnsi"/>
              </w:rPr>
              <w:t>4</w:t>
            </w:r>
          </w:p>
        </w:tc>
        <w:tc>
          <w:tcPr>
            <w:tcW w:w="1762" w:type="dxa"/>
            <w:vAlign w:val="center"/>
          </w:tcPr>
          <w:p w14:paraId="26D8D533" w14:textId="77777777" w:rsidR="00F5272E" w:rsidRPr="00B462F7" w:rsidRDefault="00F5272E" w:rsidP="00F5272E">
            <w:pPr>
              <w:jc w:val="center"/>
              <w:rPr>
                <w:rFonts w:cstheme="minorHAnsi"/>
                <w:b/>
                <w:bCs/>
              </w:rPr>
            </w:pPr>
            <w:r w:rsidRPr="00D74F4A">
              <w:rPr>
                <w:rFonts w:ascii="Calibri" w:hAnsi="Calibri" w:cs="Calibri"/>
                <w:b/>
                <w:bCs/>
                <w:color w:val="000000"/>
              </w:rPr>
              <w:t xml:space="preserve">Odporová dekáda 2 (1-999 </w:t>
            </w:r>
            <w:proofErr w:type="spellStart"/>
            <w:r w:rsidRPr="00D74F4A">
              <w:rPr>
                <w:rFonts w:ascii="Calibri" w:hAnsi="Calibri" w:cs="Calibri"/>
                <w:b/>
                <w:bCs/>
                <w:color w:val="000000"/>
              </w:rPr>
              <w:t>kOhm</w:t>
            </w:r>
            <w:proofErr w:type="spellEnd"/>
            <w:r w:rsidRPr="00D74F4A">
              <w:rPr>
                <w:rFonts w:ascii="Calibri" w:hAnsi="Calibri" w:cs="Calibri"/>
                <w:b/>
                <w:bCs/>
                <w:color w:val="000000"/>
              </w:rPr>
              <w:t>)</w:t>
            </w:r>
          </w:p>
        </w:tc>
        <w:tc>
          <w:tcPr>
            <w:tcW w:w="772" w:type="dxa"/>
            <w:vAlign w:val="center"/>
          </w:tcPr>
          <w:p w14:paraId="6777DE77" w14:textId="77777777" w:rsidR="00F5272E" w:rsidRPr="00B462F7" w:rsidRDefault="00F5272E" w:rsidP="00F5272E">
            <w:pPr>
              <w:rPr>
                <w:rFonts w:cstheme="minorHAnsi"/>
              </w:rPr>
            </w:pPr>
            <w:r>
              <w:rPr>
                <w:rFonts w:cstheme="minorHAnsi"/>
              </w:rPr>
              <w:t>15</w:t>
            </w:r>
          </w:p>
        </w:tc>
        <w:tc>
          <w:tcPr>
            <w:tcW w:w="4837" w:type="dxa"/>
            <w:vAlign w:val="center"/>
          </w:tcPr>
          <w:p w14:paraId="7C9E6C5E" w14:textId="77777777" w:rsidR="00F5272E" w:rsidRPr="00B462F7" w:rsidRDefault="00F5272E" w:rsidP="00F5272E">
            <w:pPr>
              <w:rPr>
                <w:rFonts w:cstheme="minorHAnsi"/>
              </w:rPr>
            </w:pPr>
            <w:r w:rsidRPr="002F1B7F">
              <w:rPr>
                <w:rFonts w:cstheme="minorHAnsi"/>
              </w:rPr>
              <w:t xml:space="preserve">Rozsah 1kΩ – 999kΩ s krokem 1kΩ, provozní proud do </w:t>
            </w:r>
            <w:proofErr w:type="gramStart"/>
            <w:r w:rsidRPr="002F1B7F">
              <w:rPr>
                <w:rFonts w:cstheme="minorHAnsi"/>
              </w:rPr>
              <w:t>200mA</w:t>
            </w:r>
            <w:proofErr w:type="gramEnd"/>
            <w:r w:rsidRPr="002F1B7F">
              <w:rPr>
                <w:rFonts w:cstheme="minorHAnsi"/>
              </w:rPr>
              <w:t xml:space="preserve">, přesnost </w:t>
            </w:r>
            <w:proofErr w:type="gramStart"/>
            <w:r w:rsidRPr="002F1B7F">
              <w:rPr>
                <w:rFonts w:cstheme="minorHAnsi"/>
              </w:rPr>
              <w:t>0,1%</w:t>
            </w:r>
            <w:proofErr w:type="gramEnd"/>
            <w:r w:rsidRPr="002F1B7F">
              <w:rPr>
                <w:rFonts w:cstheme="minorHAnsi"/>
              </w:rPr>
              <w:t>, 25ppm, akustická indikace při přetížení dekády. Zdvojené vývody, zobrazení nastavené hodnoty.</w:t>
            </w:r>
          </w:p>
        </w:tc>
        <w:tc>
          <w:tcPr>
            <w:tcW w:w="2378" w:type="dxa"/>
          </w:tcPr>
          <w:p w14:paraId="64B05CFD" w14:textId="77777777" w:rsidR="00F5272E" w:rsidRPr="00B462F7" w:rsidRDefault="00F5272E" w:rsidP="00F5272E">
            <w:pPr>
              <w:rPr>
                <w:rFonts w:eastAsia="Times New Roman" w:cstheme="minorHAnsi"/>
                <w:color w:val="000000"/>
                <w:kern w:val="0"/>
                <w:lang w:eastAsia="cs-CZ"/>
                <w14:ligatures w14:val="none"/>
              </w:rPr>
            </w:pPr>
          </w:p>
        </w:tc>
        <w:tc>
          <w:tcPr>
            <w:tcW w:w="2376" w:type="dxa"/>
          </w:tcPr>
          <w:p w14:paraId="5CEC4614" w14:textId="77777777" w:rsidR="00F5272E" w:rsidRPr="00B462F7" w:rsidRDefault="00F5272E" w:rsidP="00F5272E">
            <w:pPr>
              <w:rPr>
                <w:rFonts w:eastAsia="Times New Roman" w:cstheme="minorHAnsi"/>
                <w:color w:val="000000"/>
                <w:kern w:val="0"/>
                <w:lang w:eastAsia="cs-CZ"/>
                <w14:ligatures w14:val="none"/>
              </w:rPr>
            </w:pPr>
          </w:p>
        </w:tc>
        <w:tc>
          <w:tcPr>
            <w:tcW w:w="2899" w:type="dxa"/>
            <w:vAlign w:val="center"/>
          </w:tcPr>
          <w:p w14:paraId="6F4943E1" w14:textId="77777777" w:rsidR="00F5272E" w:rsidRPr="00B462F7" w:rsidRDefault="00F5272E" w:rsidP="00F5272E">
            <w:pPr>
              <w:rPr>
                <w:rFonts w:eastAsia="Times New Roman" w:cstheme="minorHAnsi"/>
                <w:color w:val="000000"/>
                <w:kern w:val="0"/>
                <w:lang w:eastAsia="cs-CZ"/>
                <w14:ligatures w14:val="none"/>
              </w:rPr>
            </w:pPr>
          </w:p>
        </w:tc>
      </w:tr>
      <w:tr w:rsidR="00426897" w:rsidRPr="00B462F7" w14:paraId="31AB6957" w14:textId="77777777" w:rsidTr="00426897">
        <w:tc>
          <w:tcPr>
            <w:tcW w:w="704" w:type="dxa"/>
            <w:vAlign w:val="center"/>
          </w:tcPr>
          <w:p w14:paraId="5E2D86D9" w14:textId="77777777" w:rsidR="00F5272E" w:rsidRPr="00B462F7" w:rsidRDefault="00F5272E" w:rsidP="00F5272E">
            <w:pPr>
              <w:rPr>
                <w:rFonts w:cstheme="minorHAnsi"/>
              </w:rPr>
            </w:pPr>
            <w:r w:rsidRPr="00B462F7">
              <w:rPr>
                <w:rFonts w:cstheme="minorHAnsi"/>
              </w:rPr>
              <w:t>5</w:t>
            </w:r>
          </w:p>
        </w:tc>
        <w:tc>
          <w:tcPr>
            <w:tcW w:w="1762" w:type="dxa"/>
            <w:vAlign w:val="center"/>
          </w:tcPr>
          <w:p w14:paraId="139B1E48" w14:textId="77777777" w:rsidR="00F5272E" w:rsidRPr="00D74F4A" w:rsidRDefault="00F5272E" w:rsidP="00F5272E">
            <w:pPr>
              <w:jc w:val="center"/>
              <w:rPr>
                <w:rFonts w:ascii="Calibri" w:hAnsi="Calibri" w:cs="Calibri"/>
                <w:b/>
                <w:bCs/>
                <w:color w:val="000000"/>
              </w:rPr>
            </w:pPr>
            <w:r w:rsidRPr="00D74F4A">
              <w:rPr>
                <w:rFonts w:ascii="Calibri" w:hAnsi="Calibri" w:cs="Calibri"/>
                <w:b/>
                <w:bCs/>
                <w:color w:val="000000"/>
              </w:rPr>
              <w:t>Kapacitní dekáda (</w:t>
            </w:r>
            <w:proofErr w:type="gramStart"/>
            <w:r w:rsidRPr="00D74F4A">
              <w:rPr>
                <w:rFonts w:ascii="Calibri" w:hAnsi="Calibri" w:cs="Calibri"/>
                <w:b/>
                <w:bCs/>
                <w:color w:val="000000"/>
              </w:rPr>
              <w:t>1 - 999</w:t>
            </w:r>
            <w:proofErr w:type="gramEnd"/>
            <w:r w:rsidRPr="00D74F4A">
              <w:rPr>
                <w:rFonts w:ascii="Calibri" w:hAnsi="Calibri" w:cs="Calibri"/>
                <w:b/>
                <w:bCs/>
                <w:color w:val="000000"/>
              </w:rPr>
              <w:t xml:space="preserve"> </w:t>
            </w:r>
            <w:proofErr w:type="spellStart"/>
            <w:r w:rsidRPr="00D74F4A">
              <w:rPr>
                <w:rFonts w:ascii="Calibri" w:hAnsi="Calibri" w:cs="Calibri"/>
                <w:b/>
                <w:bCs/>
                <w:color w:val="000000"/>
              </w:rPr>
              <w:t>nF</w:t>
            </w:r>
            <w:proofErr w:type="spellEnd"/>
            <w:r w:rsidRPr="00D74F4A">
              <w:rPr>
                <w:rFonts w:ascii="Calibri" w:hAnsi="Calibri" w:cs="Calibri"/>
                <w:b/>
                <w:bCs/>
                <w:color w:val="000000"/>
              </w:rPr>
              <w:t>)</w:t>
            </w:r>
          </w:p>
        </w:tc>
        <w:tc>
          <w:tcPr>
            <w:tcW w:w="772" w:type="dxa"/>
            <w:vAlign w:val="center"/>
          </w:tcPr>
          <w:p w14:paraId="40E575C4" w14:textId="77777777" w:rsidR="00F5272E" w:rsidRPr="00B462F7" w:rsidRDefault="00F5272E" w:rsidP="00F5272E">
            <w:pPr>
              <w:rPr>
                <w:rFonts w:cstheme="minorHAnsi"/>
              </w:rPr>
            </w:pPr>
            <w:r>
              <w:rPr>
                <w:rFonts w:cstheme="minorHAnsi"/>
              </w:rPr>
              <w:t>5</w:t>
            </w:r>
          </w:p>
        </w:tc>
        <w:tc>
          <w:tcPr>
            <w:tcW w:w="4837" w:type="dxa"/>
            <w:vAlign w:val="center"/>
          </w:tcPr>
          <w:p w14:paraId="3DE3B03A" w14:textId="77777777" w:rsidR="00F5272E" w:rsidRPr="00B462F7" w:rsidRDefault="00F5272E" w:rsidP="00F5272E">
            <w:pPr>
              <w:rPr>
                <w:rFonts w:cstheme="minorHAnsi"/>
              </w:rPr>
            </w:pPr>
            <w:r w:rsidRPr="002F1B7F">
              <w:rPr>
                <w:rFonts w:cstheme="minorHAnsi"/>
              </w:rPr>
              <w:t xml:space="preserve">Rozsah 1nF – 999nF s krokem 1nF, provozní napětí do </w:t>
            </w:r>
            <w:proofErr w:type="gramStart"/>
            <w:r w:rsidRPr="002F1B7F">
              <w:rPr>
                <w:rFonts w:cstheme="minorHAnsi"/>
              </w:rPr>
              <w:t>25V</w:t>
            </w:r>
            <w:proofErr w:type="gramEnd"/>
            <w:r w:rsidRPr="002F1B7F">
              <w:rPr>
                <w:rFonts w:cstheme="minorHAnsi"/>
              </w:rPr>
              <w:t xml:space="preserve">, přesnost </w:t>
            </w:r>
            <w:proofErr w:type="gramStart"/>
            <w:r w:rsidRPr="002F1B7F">
              <w:rPr>
                <w:rFonts w:cstheme="minorHAnsi"/>
              </w:rPr>
              <w:t>1%</w:t>
            </w:r>
            <w:proofErr w:type="gramEnd"/>
            <w:r w:rsidRPr="002F1B7F">
              <w:rPr>
                <w:rFonts w:cstheme="minorHAnsi"/>
              </w:rPr>
              <w:t>, 200ppm. Zdvojené vývody, zobrazení nastavené hodnoty.</w:t>
            </w:r>
          </w:p>
        </w:tc>
        <w:tc>
          <w:tcPr>
            <w:tcW w:w="2378" w:type="dxa"/>
          </w:tcPr>
          <w:p w14:paraId="62EC7A9C" w14:textId="77777777" w:rsidR="00F5272E" w:rsidRPr="00B462F7" w:rsidRDefault="00F5272E" w:rsidP="00F5272E">
            <w:pPr>
              <w:pStyle w:val="Odstavecseseznamem"/>
              <w:ind w:left="360"/>
              <w:rPr>
                <w:rFonts w:eastAsia="Times New Roman" w:cstheme="minorHAnsi"/>
                <w:color w:val="000000"/>
                <w:kern w:val="0"/>
                <w:lang w:eastAsia="cs-CZ"/>
                <w14:ligatures w14:val="none"/>
              </w:rPr>
            </w:pPr>
          </w:p>
        </w:tc>
        <w:tc>
          <w:tcPr>
            <w:tcW w:w="2376" w:type="dxa"/>
          </w:tcPr>
          <w:p w14:paraId="25288ED6" w14:textId="77777777" w:rsidR="00F5272E" w:rsidRPr="00B462F7" w:rsidRDefault="00F5272E" w:rsidP="00F5272E">
            <w:pPr>
              <w:pStyle w:val="Odstavecseseznamem"/>
              <w:ind w:left="360"/>
              <w:rPr>
                <w:rFonts w:eastAsia="Times New Roman" w:cstheme="minorHAnsi"/>
                <w:color w:val="000000"/>
                <w:kern w:val="0"/>
                <w:lang w:eastAsia="cs-CZ"/>
                <w14:ligatures w14:val="none"/>
              </w:rPr>
            </w:pPr>
          </w:p>
        </w:tc>
        <w:tc>
          <w:tcPr>
            <w:tcW w:w="2899" w:type="dxa"/>
            <w:vAlign w:val="center"/>
          </w:tcPr>
          <w:p w14:paraId="1FFC6B41" w14:textId="77777777" w:rsidR="00F5272E" w:rsidRPr="00B462F7" w:rsidRDefault="00F5272E" w:rsidP="00F5272E">
            <w:pPr>
              <w:pStyle w:val="Odstavecseseznamem"/>
              <w:ind w:left="360"/>
              <w:rPr>
                <w:rFonts w:eastAsia="Times New Roman" w:cstheme="minorHAnsi"/>
                <w:color w:val="000000"/>
                <w:kern w:val="0"/>
                <w:lang w:eastAsia="cs-CZ"/>
                <w14:ligatures w14:val="none"/>
              </w:rPr>
            </w:pPr>
          </w:p>
        </w:tc>
      </w:tr>
      <w:tr w:rsidR="00426897" w:rsidRPr="00B462F7" w14:paraId="7BE7441E" w14:textId="77777777" w:rsidTr="00426897">
        <w:tc>
          <w:tcPr>
            <w:tcW w:w="704" w:type="dxa"/>
            <w:vAlign w:val="center"/>
          </w:tcPr>
          <w:p w14:paraId="17F50872" w14:textId="77777777" w:rsidR="00F5272E" w:rsidRPr="00B462F7" w:rsidRDefault="00F5272E" w:rsidP="00F5272E">
            <w:pPr>
              <w:rPr>
                <w:rFonts w:cstheme="minorHAnsi"/>
              </w:rPr>
            </w:pPr>
            <w:r w:rsidRPr="00B462F7">
              <w:rPr>
                <w:rFonts w:cstheme="minorHAnsi"/>
              </w:rPr>
              <w:t>6</w:t>
            </w:r>
          </w:p>
        </w:tc>
        <w:tc>
          <w:tcPr>
            <w:tcW w:w="1762" w:type="dxa"/>
            <w:vAlign w:val="center"/>
          </w:tcPr>
          <w:p w14:paraId="2E51CF16" w14:textId="77777777" w:rsidR="00F5272E" w:rsidRPr="00D74F4A" w:rsidRDefault="00F5272E" w:rsidP="00F5272E">
            <w:pPr>
              <w:jc w:val="center"/>
              <w:rPr>
                <w:rFonts w:ascii="Calibri" w:hAnsi="Calibri" w:cs="Calibri"/>
                <w:b/>
                <w:bCs/>
                <w:color w:val="000000"/>
              </w:rPr>
            </w:pPr>
            <w:r w:rsidRPr="00D74F4A">
              <w:rPr>
                <w:rFonts w:ascii="Calibri" w:hAnsi="Calibri" w:cs="Calibri"/>
                <w:b/>
                <w:bCs/>
                <w:color w:val="000000"/>
              </w:rPr>
              <w:t>Souprava dvoukolíkových prvků (60 ks)</w:t>
            </w:r>
          </w:p>
        </w:tc>
        <w:tc>
          <w:tcPr>
            <w:tcW w:w="772" w:type="dxa"/>
            <w:vAlign w:val="center"/>
          </w:tcPr>
          <w:p w14:paraId="13825862" w14:textId="77777777" w:rsidR="00F5272E" w:rsidRPr="00B462F7" w:rsidRDefault="00F5272E" w:rsidP="00F5272E">
            <w:pPr>
              <w:rPr>
                <w:rFonts w:cstheme="minorHAnsi"/>
              </w:rPr>
            </w:pPr>
            <w:r>
              <w:rPr>
                <w:rFonts w:cstheme="minorHAnsi"/>
              </w:rPr>
              <w:t>5</w:t>
            </w:r>
          </w:p>
        </w:tc>
        <w:tc>
          <w:tcPr>
            <w:tcW w:w="4837" w:type="dxa"/>
            <w:vAlign w:val="center"/>
          </w:tcPr>
          <w:p w14:paraId="0A8575D5" w14:textId="77777777" w:rsidR="00F5272E" w:rsidRPr="002F1B7F" w:rsidRDefault="00F5272E" w:rsidP="00F5272E">
            <w:pPr>
              <w:rPr>
                <w:rFonts w:cstheme="minorHAnsi"/>
              </w:rPr>
            </w:pPr>
            <w:r w:rsidRPr="002F1B7F">
              <w:rPr>
                <w:rFonts w:cstheme="minorHAnsi"/>
              </w:rPr>
              <w:t xml:space="preserve">Obsahuje diskrétní prvky viditelně umístěné na dvoukolíkovém konektoru 6x12x14 mm s jemně výkyvnými kolíky o rozteči 5 mm. Vysoká přesnost a stabilita parametrů, velmi nízké hodnoty parazitních parametrů. Souprava obsahuje 31 přesných součástek: </w:t>
            </w:r>
          </w:p>
          <w:p w14:paraId="3D0611C5" w14:textId="77777777" w:rsidR="00F5272E" w:rsidRPr="00B462F7" w:rsidRDefault="00F5272E" w:rsidP="00F5272E">
            <w:pPr>
              <w:rPr>
                <w:rFonts w:cstheme="minorHAnsi"/>
              </w:rPr>
            </w:pPr>
            <w:proofErr w:type="gramStart"/>
            <w:r w:rsidRPr="002F1B7F">
              <w:rPr>
                <w:rFonts w:cstheme="minorHAnsi"/>
              </w:rPr>
              <w:t>rezistory - 2x</w:t>
            </w:r>
            <w:proofErr w:type="gramEnd"/>
            <w:r w:rsidRPr="002F1B7F">
              <w:rPr>
                <w:rFonts w:cstheme="minorHAnsi"/>
              </w:rPr>
              <w:t xml:space="preserve"> 1Ω (</w:t>
            </w:r>
            <w:proofErr w:type="gramStart"/>
            <w:r w:rsidRPr="002F1B7F">
              <w:rPr>
                <w:rFonts w:cstheme="minorHAnsi"/>
              </w:rPr>
              <w:t>0,5%</w:t>
            </w:r>
            <w:proofErr w:type="gramEnd"/>
            <w:r w:rsidRPr="002F1B7F">
              <w:rPr>
                <w:rFonts w:cstheme="minorHAnsi"/>
              </w:rPr>
              <w:t>, 50ppm), 2x 10Ω (</w:t>
            </w:r>
            <w:proofErr w:type="gramStart"/>
            <w:r w:rsidRPr="002F1B7F">
              <w:rPr>
                <w:rFonts w:cstheme="minorHAnsi"/>
              </w:rPr>
              <w:t>0,2%</w:t>
            </w:r>
            <w:proofErr w:type="gramEnd"/>
            <w:r w:rsidRPr="002F1B7F">
              <w:rPr>
                <w:rFonts w:cstheme="minorHAnsi"/>
              </w:rPr>
              <w:t xml:space="preserve">, 25ppm), zbývající rezistory </w:t>
            </w:r>
            <w:proofErr w:type="gramStart"/>
            <w:r w:rsidRPr="002F1B7F">
              <w:rPr>
                <w:rFonts w:cstheme="minorHAnsi"/>
              </w:rPr>
              <w:t>0,1%</w:t>
            </w:r>
            <w:proofErr w:type="gramEnd"/>
            <w:r w:rsidRPr="002F1B7F">
              <w:rPr>
                <w:rFonts w:cstheme="minorHAnsi"/>
              </w:rPr>
              <w:t xml:space="preserve">, </w:t>
            </w:r>
            <w:proofErr w:type="gramStart"/>
            <w:r w:rsidRPr="002F1B7F">
              <w:rPr>
                <w:rFonts w:cstheme="minorHAnsi"/>
              </w:rPr>
              <w:t>25ppm - 2x</w:t>
            </w:r>
            <w:proofErr w:type="gramEnd"/>
            <w:r w:rsidRPr="002F1B7F">
              <w:rPr>
                <w:rFonts w:cstheme="minorHAnsi"/>
              </w:rPr>
              <w:t xml:space="preserve"> </w:t>
            </w:r>
            <w:r w:rsidRPr="002F1B7F">
              <w:rPr>
                <w:rFonts w:cstheme="minorHAnsi"/>
              </w:rPr>
              <w:lastRenderedPageBreak/>
              <w:t>100Ω, 1x 200Ω, 1x 500Ω, 2x 1kΩ, 1x 2kΩ, 1x 5kΩ, 2x 10kΩ, 1x 20kΩ, 1x 50kΩ, 2x 100kΩ, 1x 200kΩ, 1x 500kΩ, 2x 1MΩ, 1x 10MΩ, kondenzátory (</w:t>
            </w:r>
            <w:proofErr w:type="gramStart"/>
            <w:r w:rsidRPr="002F1B7F">
              <w:rPr>
                <w:rFonts w:cstheme="minorHAnsi"/>
              </w:rPr>
              <w:t>1%</w:t>
            </w:r>
            <w:proofErr w:type="gramEnd"/>
            <w:r w:rsidRPr="002F1B7F">
              <w:rPr>
                <w:rFonts w:cstheme="minorHAnsi"/>
              </w:rPr>
              <w:t>, 200ppm) - 2x 1nF, 1x 3.3nF, 2x 10nF, 1x 33nF, 2x 100nF. 30 ostatních dvoukolíkových součástek: bipolární kondenzátory (</w:t>
            </w:r>
            <w:proofErr w:type="gramStart"/>
            <w:r w:rsidRPr="002F1B7F">
              <w:rPr>
                <w:rFonts w:cstheme="minorHAnsi"/>
              </w:rPr>
              <w:t>20%</w:t>
            </w:r>
            <w:proofErr w:type="gramEnd"/>
            <w:r w:rsidRPr="002F1B7F">
              <w:rPr>
                <w:rFonts w:cstheme="minorHAnsi"/>
              </w:rPr>
              <w:t xml:space="preserve">, </w:t>
            </w:r>
            <w:proofErr w:type="gramStart"/>
            <w:r w:rsidRPr="002F1B7F">
              <w:rPr>
                <w:rFonts w:cstheme="minorHAnsi"/>
              </w:rPr>
              <w:t>35V</w:t>
            </w:r>
            <w:proofErr w:type="gramEnd"/>
            <w:r w:rsidRPr="002F1B7F">
              <w:rPr>
                <w:rFonts w:cstheme="minorHAnsi"/>
              </w:rPr>
              <w:t xml:space="preserve">) - 1x 1μF, 1x 3.3μF, 1x 10μF, 1x 33μF, 1x 100μF, </w:t>
            </w:r>
            <w:proofErr w:type="gramStart"/>
            <w:r w:rsidRPr="002F1B7F">
              <w:rPr>
                <w:rFonts w:cstheme="minorHAnsi"/>
              </w:rPr>
              <w:t>diody - 4x</w:t>
            </w:r>
            <w:proofErr w:type="gramEnd"/>
            <w:r w:rsidRPr="002F1B7F">
              <w:rPr>
                <w:rFonts w:cstheme="minorHAnsi"/>
              </w:rPr>
              <w:t xml:space="preserve"> Si, 1x </w:t>
            </w:r>
            <w:proofErr w:type="spellStart"/>
            <w:r w:rsidRPr="002F1B7F">
              <w:rPr>
                <w:rFonts w:cstheme="minorHAnsi"/>
              </w:rPr>
              <w:t>Schottky</w:t>
            </w:r>
            <w:proofErr w:type="spellEnd"/>
            <w:r w:rsidRPr="002F1B7F">
              <w:rPr>
                <w:rFonts w:cstheme="minorHAnsi"/>
              </w:rPr>
              <w:t>, 1x ZD2V4, 1x ZD3V0, 1x ZD3V6, 1x ZD4V3, 2x LED červená, 2x LED zelená, 1x LED žlutá, 1x LED modrá, 1x NTC 1kΩ, 8x spojka.</w:t>
            </w:r>
          </w:p>
        </w:tc>
        <w:tc>
          <w:tcPr>
            <w:tcW w:w="2378" w:type="dxa"/>
          </w:tcPr>
          <w:p w14:paraId="2CE47E8C" w14:textId="77777777" w:rsidR="00F5272E" w:rsidRPr="00B462F7" w:rsidRDefault="00F5272E" w:rsidP="00F5272E">
            <w:pPr>
              <w:rPr>
                <w:rFonts w:eastAsia="Times New Roman" w:cstheme="minorHAnsi"/>
                <w:color w:val="000000"/>
                <w:kern w:val="0"/>
                <w:lang w:eastAsia="cs-CZ"/>
                <w14:ligatures w14:val="none"/>
              </w:rPr>
            </w:pPr>
          </w:p>
        </w:tc>
        <w:tc>
          <w:tcPr>
            <w:tcW w:w="2376" w:type="dxa"/>
          </w:tcPr>
          <w:p w14:paraId="54D77B61" w14:textId="77777777" w:rsidR="00F5272E" w:rsidRPr="00B462F7" w:rsidRDefault="00F5272E" w:rsidP="00F5272E">
            <w:pPr>
              <w:rPr>
                <w:rFonts w:eastAsia="Times New Roman" w:cstheme="minorHAnsi"/>
                <w:color w:val="000000"/>
                <w:kern w:val="0"/>
                <w:lang w:eastAsia="cs-CZ"/>
                <w14:ligatures w14:val="none"/>
              </w:rPr>
            </w:pPr>
          </w:p>
        </w:tc>
        <w:tc>
          <w:tcPr>
            <w:tcW w:w="2899" w:type="dxa"/>
            <w:vAlign w:val="center"/>
          </w:tcPr>
          <w:p w14:paraId="69A50CC1" w14:textId="77777777" w:rsidR="00F5272E" w:rsidRPr="00B462F7" w:rsidRDefault="00F5272E" w:rsidP="00F5272E">
            <w:pPr>
              <w:rPr>
                <w:rFonts w:eastAsia="Times New Roman" w:cstheme="minorHAnsi"/>
                <w:color w:val="000000"/>
                <w:kern w:val="0"/>
                <w:lang w:eastAsia="cs-CZ"/>
                <w14:ligatures w14:val="none"/>
              </w:rPr>
            </w:pPr>
          </w:p>
        </w:tc>
      </w:tr>
    </w:tbl>
    <w:p w14:paraId="722D2456" w14:textId="1EB08185" w:rsidR="00F5272E" w:rsidRDefault="00F5272E" w:rsidP="00F5272E">
      <w:r>
        <w:br w:type="textWrapping" w:clear="all"/>
      </w:r>
      <w:r>
        <w:br w:type="page"/>
      </w:r>
    </w:p>
    <w:tbl>
      <w:tblPr>
        <w:tblStyle w:val="Mkatabulky"/>
        <w:tblW w:w="0" w:type="auto"/>
        <w:tblLook w:val="04A0" w:firstRow="1" w:lastRow="0" w:firstColumn="1" w:lastColumn="0" w:noHBand="0" w:noVBand="1"/>
      </w:tblPr>
      <w:tblGrid>
        <w:gridCol w:w="1016"/>
        <w:gridCol w:w="2359"/>
        <w:gridCol w:w="784"/>
        <w:gridCol w:w="6436"/>
        <w:gridCol w:w="4793"/>
      </w:tblGrid>
      <w:tr w:rsidR="00F5272E" w:rsidRPr="00B462F7" w14:paraId="30B9A48A" w14:textId="77777777" w:rsidTr="002714AF">
        <w:tc>
          <w:tcPr>
            <w:tcW w:w="1016" w:type="dxa"/>
            <w:vAlign w:val="center"/>
          </w:tcPr>
          <w:p w14:paraId="48D7F7BE" w14:textId="77777777" w:rsidR="00F5272E" w:rsidRPr="00B462F7" w:rsidRDefault="00F5272E" w:rsidP="002714AF">
            <w:pPr>
              <w:rPr>
                <w:rFonts w:cstheme="minorHAnsi"/>
              </w:rPr>
            </w:pPr>
            <w:r>
              <w:lastRenderedPageBreak/>
              <w:br w:type="page"/>
            </w:r>
            <w:r w:rsidRPr="00B462F7">
              <w:rPr>
                <w:rFonts w:cstheme="minorHAnsi"/>
              </w:rPr>
              <w:t>7</w:t>
            </w:r>
          </w:p>
        </w:tc>
        <w:tc>
          <w:tcPr>
            <w:tcW w:w="2359" w:type="dxa"/>
            <w:vAlign w:val="center"/>
          </w:tcPr>
          <w:p w14:paraId="204821A5" w14:textId="77777777" w:rsidR="00F5272E" w:rsidRPr="00D74F4A" w:rsidRDefault="00F5272E" w:rsidP="002714AF">
            <w:pPr>
              <w:jc w:val="center"/>
              <w:rPr>
                <w:rFonts w:ascii="Calibri" w:hAnsi="Calibri" w:cs="Calibri"/>
                <w:b/>
                <w:bCs/>
                <w:color w:val="000000"/>
              </w:rPr>
            </w:pPr>
            <w:r w:rsidRPr="00D74F4A">
              <w:rPr>
                <w:rFonts w:ascii="Calibri" w:hAnsi="Calibri" w:cs="Calibri"/>
                <w:b/>
                <w:bCs/>
                <w:color w:val="000000"/>
              </w:rPr>
              <w:t>Souprava propojovacích a dvojnásobných kabelů (55 ks)</w:t>
            </w:r>
          </w:p>
        </w:tc>
        <w:tc>
          <w:tcPr>
            <w:tcW w:w="784" w:type="dxa"/>
            <w:vAlign w:val="center"/>
          </w:tcPr>
          <w:p w14:paraId="0A3F86D2" w14:textId="77777777" w:rsidR="00F5272E" w:rsidRPr="00B462F7" w:rsidRDefault="00F5272E" w:rsidP="002714AF">
            <w:pPr>
              <w:rPr>
                <w:rFonts w:cstheme="minorHAnsi"/>
              </w:rPr>
            </w:pPr>
            <w:r>
              <w:rPr>
                <w:rFonts w:cstheme="minorHAnsi"/>
              </w:rPr>
              <w:t>10</w:t>
            </w:r>
          </w:p>
        </w:tc>
        <w:tc>
          <w:tcPr>
            <w:tcW w:w="6436" w:type="dxa"/>
            <w:vAlign w:val="center"/>
          </w:tcPr>
          <w:p w14:paraId="4223CB87" w14:textId="77777777" w:rsidR="00F5272E" w:rsidRPr="00B462F7" w:rsidRDefault="00F5272E" w:rsidP="002714AF">
            <w:pPr>
              <w:rPr>
                <w:rFonts w:cstheme="minorHAnsi"/>
              </w:rPr>
            </w:pPr>
            <w:r w:rsidRPr="002F1B7F">
              <w:rPr>
                <w:rFonts w:cstheme="minorHAnsi"/>
              </w:rPr>
              <w:t xml:space="preserve">Ohebný kablík se silikonovou izolací, průřez měděného jádra 0,25 mm2, zlacené kolíky o průměru 1,5mm, zalisované ohebné koncovky. Sondy – dvojvodičové kabely s barevně odlišenými koncovkami. Souprava obsahuje 55 kusů vodičů (8x napájecí +pól, 8x </w:t>
            </w:r>
            <w:proofErr w:type="gramStart"/>
            <w:r w:rsidRPr="002F1B7F">
              <w:rPr>
                <w:rFonts w:cstheme="minorHAnsi"/>
              </w:rPr>
              <w:t>napájecí -pól</w:t>
            </w:r>
            <w:proofErr w:type="gramEnd"/>
            <w:r w:rsidRPr="002F1B7F">
              <w:rPr>
                <w:rFonts w:cstheme="minorHAnsi"/>
              </w:rPr>
              <w:t xml:space="preserve">, 10x </w:t>
            </w:r>
            <w:proofErr w:type="gramStart"/>
            <w:r w:rsidRPr="002F1B7F">
              <w:rPr>
                <w:rFonts w:cstheme="minorHAnsi"/>
              </w:rPr>
              <w:t>žlutý - 15cm</w:t>
            </w:r>
            <w:proofErr w:type="gramEnd"/>
            <w:r w:rsidRPr="002F1B7F">
              <w:rPr>
                <w:rFonts w:cstheme="minorHAnsi"/>
              </w:rPr>
              <w:t xml:space="preserve">, 10x </w:t>
            </w:r>
            <w:proofErr w:type="gramStart"/>
            <w:r w:rsidRPr="002F1B7F">
              <w:rPr>
                <w:rFonts w:cstheme="minorHAnsi"/>
              </w:rPr>
              <w:t>modrý - 20cm</w:t>
            </w:r>
            <w:proofErr w:type="gramEnd"/>
            <w:r w:rsidRPr="002F1B7F">
              <w:rPr>
                <w:rFonts w:cstheme="minorHAnsi"/>
              </w:rPr>
              <w:t xml:space="preserve">, 8x zelený </w:t>
            </w:r>
            <w:proofErr w:type="gramStart"/>
            <w:r w:rsidRPr="002F1B7F">
              <w:rPr>
                <w:rFonts w:cstheme="minorHAnsi"/>
              </w:rPr>
              <w:t>30cm</w:t>
            </w:r>
            <w:proofErr w:type="gramEnd"/>
            <w:r w:rsidRPr="002F1B7F">
              <w:rPr>
                <w:rFonts w:cstheme="minorHAnsi"/>
              </w:rPr>
              <w:t xml:space="preserve">, 4x </w:t>
            </w:r>
            <w:proofErr w:type="gramStart"/>
            <w:r w:rsidRPr="002F1B7F">
              <w:rPr>
                <w:rFonts w:cstheme="minorHAnsi"/>
              </w:rPr>
              <w:t>červený - 40cm</w:t>
            </w:r>
            <w:proofErr w:type="gramEnd"/>
            <w:r w:rsidRPr="002F1B7F">
              <w:rPr>
                <w:rFonts w:cstheme="minorHAnsi"/>
              </w:rPr>
              <w:t xml:space="preserve">, 2x bílý </w:t>
            </w:r>
            <w:proofErr w:type="gramStart"/>
            <w:r w:rsidRPr="002F1B7F">
              <w:rPr>
                <w:rFonts w:cstheme="minorHAnsi"/>
              </w:rPr>
              <w:t>50cm</w:t>
            </w:r>
            <w:proofErr w:type="gramEnd"/>
            <w:r w:rsidRPr="002F1B7F">
              <w:rPr>
                <w:rFonts w:cstheme="minorHAnsi"/>
              </w:rPr>
              <w:t xml:space="preserve">) a 5 kusů sond (1x </w:t>
            </w:r>
            <w:proofErr w:type="gramStart"/>
            <w:r w:rsidRPr="002F1B7F">
              <w:rPr>
                <w:rFonts w:cstheme="minorHAnsi"/>
              </w:rPr>
              <w:t>modrá - 25cm</w:t>
            </w:r>
            <w:proofErr w:type="gramEnd"/>
            <w:r w:rsidRPr="002F1B7F">
              <w:rPr>
                <w:rFonts w:cstheme="minorHAnsi"/>
              </w:rPr>
              <w:t xml:space="preserve">, 1x </w:t>
            </w:r>
            <w:proofErr w:type="gramStart"/>
            <w:r w:rsidRPr="002F1B7F">
              <w:rPr>
                <w:rFonts w:cstheme="minorHAnsi"/>
              </w:rPr>
              <w:t>žlutá - 25cm</w:t>
            </w:r>
            <w:proofErr w:type="gramEnd"/>
            <w:r w:rsidRPr="002F1B7F">
              <w:rPr>
                <w:rFonts w:cstheme="minorHAnsi"/>
              </w:rPr>
              <w:t xml:space="preserve">, 1x </w:t>
            </w:r>
            <w:proofErr w:type="gramStart"/>
            <w:r w:rsidRPr="002F1B7F">
              <w:rPr>
                <w:rFonts w:cstheme="minorHAnsi"/>
              </w:rPr>
              <w:t>modrá - 55cm</w:t>
            </w:r>
            <w:proofErr w:type="gramEnd"/>
            <w:r w:rsidRPr="002F1B7F">
              <w:rPr>
                <w:rFonts w:cstheme="minorHAnsi"/>
              </w:rPr>
              <w:t xml:space="preserve">, 2x </w:t>
            </w:r>
            <w:proofErr w:type="gramStart"/>
            <w:r w:rsidRPr="002F1B7F">
              <w:rPr>
                <w:rFonts w:cstheme="minorHAnsi"/>
              </w:rPr>
              <w:t>žlutá - 55cm</w:t>
            </w:r>
            <w:proofErr w:type="gramEnd"/>
            <w:r w:rsidRPr="002F1B7F">
              <w:rPr>
                <w:rFonts w:cstheme="minorHAnsi"/>
              </w:rPr>
              <w:t>).</w:t>
            </w:r>
          </w:p>
        </w:tc>
        <w:tc>
          <w:tcPr>
            <w:tcW w:w="4793" w:type="dxa"/>
            <w:vAlign w:val="center"/>
          </w:tcPr>
          <w:p w14:paraId="7243DE72" w14:textId="77777777" w:rsidR="00F5272E" w:rsidRPr="00B462F7" w:rsidRDefault="00F5272E" w:rsidP="002714AF">
            <w:pPr>
              <w:rPr>
                <w:rFonts w:eastAsia="Times New Roman" w:cstheme="minorHAnsi"/>
                <w:color w:val="000000"/>
                <w:kern w:val="0"/>
                <w:lang w:eastAsia="cs-CZ"/>
                <w14:ligatures w14:val="none"/>
              </w:rPr>
            </w:pPr>
          </w:p>
        </w:tc>
      </w:tr>
      <w:tr w:rsidR="00F5272E" w:rsidRPr="005C669B" w14:paraId="6AEBCE02" w14:textId="77777777" w:rsidTr="002714AF">
        <w:tc>
          <w:tcPr>
            <w:tcW w:w="1016" w:type="dxa"/>
            <w:vAlign w:val="center"/>
          </w:tcPr>
          <w:p w14:paraId="5CEA15FA" w14:textId="77777777" w:rsidR="00F5272E" w:rsidRPr="005C669B" w:rsidRDefault="00F5272E" w:rsidP="002714AF">
            <w:pPr>
              <w:rPr>
                <w:rFonts w:cstheme="minorHAnsi"/>
              </w:rPr>
            </w:pPr>
            <w:r w:rsidRPr="005C669B">
              <w:rPr>
                <w:rFonts w:cstheme="minorHAnsi"/>
              </w:rPr>
              <w:t>8</w:t>
            </w:r>
          </w:p>
        </w:tc>
        <w:tc>
          <w:tcPr>
            <w:tcW w:w="2359" w:type="dxa"/>
            <w:vAlign w:val="center"/>
          </w:tcPr>
          <w:p w14:paraId="1B59FB7A" w14:textId="77777777" w:rsidR="00F5272E" w:rsidRPr="00D74F4A" w:rsidRDefault="00F5272E" w:rsidP="002714AF">
            <w:pPr>
              <w:jc w:val="center"/>
              <w:rPr>
                <w:rFonts w:ascii="Calibri" w:hAnsi="Calibri" w:cs="Calibri"/>
                <w:b/>
                <w:bCs/>
                <w:color w:val="000000"/>
              </w:rPr>
            </w:pPr>
            <w:r w:rsidRPr="00D74F4A">
              <w:rPr>
                <w:rFonts w:ascii="Calibri" w:hAnsi="Calibri" w:cs="Calibri"/>
                <w:b/>
                <w:bCs/>
                <w:color w:val="000000"/>
              </w:rPr>
              <w:t>Modul výkonového zesilovače</w:t>
            </w:r>
          </w:p>
        </w:tc>
        <w:tc>
          <w:tcPr>
            <w:tcW w:w="784" w:type="dxa"/>
            <w:vAlign w:val="center"/>
          </w:tcPr>
          <w:p w14:paraId="6611411F" w14:textId="77777777" w:rsidR="00F5272E" w:rsidRPr="005C669B" w:rsidRDefault="00F5272E" w:rsidP="002714AF">
            <w:pPr>
              <w:rPr>
                <w:rFonts w:cstheme="minorHAnsi"/>
              </w:rPr>
            </w:pPr>
            <w:r>
              <w:rPr>
                <w:rFonts w:cstheme="minorHAnsi"/>
              </w:rPr>
              <w:t>5</w:t>
            </w:r>
          </w:p>
        </w:tc>
        <w:tc>
          <w:tcPr>
            <w:tcW w:w="6436" w:type="dxa"/>
            <w:vAlign w:val="center"/>
          </w:tcPr>
          <w:p w14:paraId="3EFC3F3E" w14:textId="77777777" w:rsidR="00F5272E" w:rsidRPr="005C669B" w:rsidRDefault="00F5272E" w:rsidP="002714AF">
            <w:pPr>
              <w:rPr>
                <w:rFonts w:cstheme="minorHAnsi"/>
              </w:rPr>
            </w:pPr>
            <w:r w:rsidRPr="002F1B7F">
              <w:rPr>
                <w:rFonts w:cstheme="minorHAnsi"/>
              </w:rPr>
              <w:t>Výkonový operační zesilovač s elektronickou pojistkou proti teplotnímu a proudovému přetížení (s indikacemi samostatnými LED). V případě přetížení je výstup odpojen (tlačítko uvolnění přetížení). Napěťový rozsah ±</w:t>
            </w:r>
            <w:proofErr w:type="gramStart"/>
            <w:r w:rsidRPr="002F1B7F">
              <w:rPr>
                <w:rFonts w:cstheme="minorHAnsi"/>
              </w:rPr>
              <w:t>11V</w:t>
            </w:r>
            <w:proofErr w:type="gramEnd"/>
            <w:r w:rsidRPr="002F1B7F">
              <w:rPr>
                <w:rFonts w:cstheme="minorHAnsi"/>
              </w:rPr>
              <w:t>, zesílení 1 ±</w:t>
            </w:r>
            <w:proofErr w:type="gramStart"/>
            <w:r w:rsidRPr="002F1B7F">
              <w:rPr>
                <w:rFonts w:cstheme="minorHAnsi"/>
              </w:rPr>
              <w:t>0,5%</w:t>
            </w:r>
            <w:proofErr w:type="gramEnd"/>
            <w:r w:rsidRPr="002F1B7F">
              <w:rPr>
                <w:rFonts w:cstheme="minorHAnsi"/>
              </w:rPr>
              <w:t xml:space="preserve">, ofset </w:t>
            </w:r>
            <w:proofErr w:type="gramStart"/>
            <w:r w:rsidRPr="002F1B7F">
              <w:rPr>
                <w:rFonts w:cstheme="minorHAnsi"/>
              </w:rPr>
              <w:t>&lt; ±</w:t>
            </w:r>
            <w:proofErr w:type="gramEnd"/>
            <w:r w:rsidRPr="002F1B7F">
              <w:rPr>
                <w:rFonts w:cstheme="minorHAnsi"/>
              </w:rPr>
              <w:t xml:space="preserve">10mV, frekvenční rozsah </w:t>
            </w:r>
            <w:proofErr w:type="gramStart"/>
            <w:r w:rsidRPr="002F1B7F">
              <w:rPr>
                <w:rFonts w:cstheme="minorHAnsi"/>
              </w:rPr>
              <w:t>0Hz - 10kHz</w:t>
            </w:r>
            <w:proofErr w:type="gramEnd"/>
            <w:r w:rsidRPr="002F1B7F">
              <w:rPr>
                <w:rFonts w:cstheme="minorHAnsi"/>
              </w:rPr>
              <w:t xml:space="preserve"> při poklesu o 0,1dB. Rin=100kΩ ±</w:t>
            </w:r>
            <w:proofErr w:type="gramStart"/>
            <w:r w:rsidRPr="002F1B7F">
              <w:rPr>
                <w:rFonts w:cstheme="minorHAnsi"/>
              </w:rPr>
              <w:t>1%</w:t>
            </w:r>
            <w:proofErr w:type="gramEnd"/>
            <w:r w:rsidRPr="002F1B7F">
              <w:rPr>
                <w:rFonts w:cstheme="minorHAnsi"/>
              </w:rPr>
              <w:t>, Rout &lt;0,1Ω, výstupní proud v rozsahu ±</w:t>
            </w:r>
            <w:proofErr w:type="gramStart"/>
            <w:r w:rsidRPr="002F1B7F">
              <w:rPr>
                <w:rFonts w:cstheme="minorHAnsi"/>
              </w:rPr>
              <w:t>200mA</w:t>
            </w:r>
            <w:proofErr w:type="gramEnd"/>
            <w:r w:rsidRPr="002F1B7F">
              <w:rPr>
                <w:rFonts w:cstheme="minorHAnsi"/>
              </w:rPr>
              <w:t>. Výstup galvanicky oddělený od napájení.</w:t>
            </w:r>
          </w:p>
        </w:tc>
        <w:tc>
          <w:tcPr>
            <w:tcW w:w="4793" w:type="dxa"/>
            <w:vAlign w:val="center"/>
          </w:tcPr>
          <w:p w14:paraId="6E130676" w14:textId="77777777" w:rsidR="00F5272E" w:rsidRPr="005C669B" w:rsidRDefault="00F5272E" w:rsidP="002714AF">
            <w:pPr>
              <w:rPr>
                <w:rFonts w:eastAsia="Times New Roman" w:cstheme="minorHAnsi"/>
                <w:kern w:val="0"/>
                <w:lang w:eastAsia="cs-CZ"/>
                <w14:ligatures w14:val="none"/>
              </w:rPr>
            </w:pPr>
          </w:p>
        </w:tc>
      </w:tr>
      <w:tr w:rsidR="00F5272E" w:rsidRPr="005C669B" w14:paraId="6A430D6A" w14:textId="77777777" w:rsidTr="002714AF">
        <w:tc>
          <w:tcPr>
            <w:tcW w:w="1016" w:type="dxa"/>
            <w:vAlign w:val="center"/>
          </w:tcPr>
          <w:p w14:paraId="734B075A" w14:textId="77777777" w:rsidR="00F5272E" w:rsidRPr="005C669B" w:rsidRDefault="00F5272E" w:rsidP="002714AF">
            <w:pPr>
              <w:rPr>
                <w:rFonts w:cstheme="minorHAnsi"/>
              </w:rPr>
            </w:pPr>
            <w:r>
              <w:rPr>
                <w:rFonts w:cstheme="minorHAnsi"/>
              </w:rPr>
              <w:t>9</w:t>
            </w:r>
          </w:p>
        </w:tc>
        <w:tc>
          <w:tcPr>
            <w:tcW w:w="2359" w:type="dxa"/>
            <w:vAlign w:val="center"/>
          </w:tcPr>
          <w:p w14:paraId="206605CD" w14:textId="77777777" w:rsidR="00F5272E" w:rsidRPr="00D74F4A" w:rsidRDefault="00F5272E" w:rsidP="002714AF">
            <w:pPr>
              <w:jc w:val="center"/>
              <w:rPr>
                <w:rFonts w:ascii="Calibri" w:hAnsi="Calibri" w:cs="Calibri"/>
                <w:b/>
                <w:bCs/>
                <w:color w:val="000000"/>
              </w:rPr>
            </w:pPr>
            <w:r w:rsidRPr="00D74F4A">
              <w:rPr>
                <w:rFonts w:ascii="Calibri" w:hAnsi="Calibri" w:cs="Calibri"/>
                <w:b/>
                <w:bCs/>
                <w:color w:val="000000"/>
              </w:rPr>
              <w:t>Modul transformátoru</w:t>
            </w:r>
          </w:p>
        </w:tc>
        <w:tc>
          <w:tcPr>
            <w:tcW w:w="784" w:type="dxa"/>
            <w:vAlign w:val="center"/>
          </w:tcPr>
          <w:p w14:paraId="04F957ED" w14:textId="77777777" w:rsidR="00F5272E" w:rsidRPr="005C669B" w:rsidRDefault="00F5272E" w:rsidP="002714AF">
            <w:pPr>
              <w:rPr>
                <w:rFonts w:cstheme="minorHAnsi"/>
              </w:rPr>
            </w:pPr>
            <w:r>
              <w:rPr>
                <w:rFonts w:cstheme="minorHAnsi"/>
              </w:rPr>
              <w:t>5</w:t>
            </w:r>
          </w:p>
        </w:tc>
        <w:tc>
          <w:tcPr>
            <w:tcW w:w="6436" w:type="dxa"/>
            <w:vAlign w:val="center"/>
          </w:tcPr>
          <w:p w14:paraId="6CAED964" w14:textId="77777777" w:rsidR="00F5272E" w:rsidRPr="005C669B" w:rsidRDefault="00F5272E" w:rsidP="002714AF">
            <w:pPr>
              <w:rPr>
                <w:rFonts w:cstheme="minorHAnsi"/>
              </w:rPr>
            </w:pPr>
            <w:r w:rsidRPr="002F1B7F">
              <w:rPr>
                <w:rFonts w:cstheme="minorHAnsi"/>
              </w:rPr>
              <w:t>Modul transformátoru se systémem ochran a zapojovacím polem. Poměr závitů 1:1, odbočka v polovině sekundárního vinutí, odpor vinutí 5Ω ±</w:t>
            </w:r>
            <w:proofErr w:type="gramStart"/>
            <w:r w:rsidRPr="002F1B7F">
              <w:rPr>
                <w:rFonts w:cstheme="minorHAnsi"/>
              </w:rPr>
              <w:t>20%</w:t>
            </w:r>
            <w:proofErr w:type="gramEnd"/>
            <w:r w:rsidRPr="002F1B7F">
              <w:rPr>
                <w:rFonts w:cstheme="minorHAnsi"/>
              </w:rPr>
              <w:t>, provozní proud &lt;</w:t>
            </w:r>
            <w:proofErr w:type="gramStart"/>
            <w:r w:rsidRPr="002F1B7F">
              <w:rPr>
                <w:rFonts w:cstheme="minorHAnsi"/>
              </w:rPr>
              <w:t>250mA</w:t>
            </w:r>
            <w:proofErr w:type="gramEnd"/>
            <w:r w:rsidRPr="002F1B7F">
              <w:rPr>
                <w:rFonts w:cstheme="minorHAnsi"/>
              </w:rPr>
              <w:t>, omezení přepětí vstupu a výstupu na ±</w:t>
            </w:r>
            <w:proofErr w:type="gramStart"/>
            <w:r w:rsidRPr="002F1B7F">
              <w:rPr>
                <w:rFonts w:cstheme="minorHAnsi"/>
              </w:rPr>
              <w:t>15V</w:t>
            </w:r>
            <w:proofErr w:type="gramEnd"/>
            <w:r w:rsidRPr="002F1B7F">
              <w:rPr>
                <w:rFonts w:cstheme="minorHAnsi"/>
              </w:rPr>
              <w:t xml:space="preserve">. Pracovní </w:t>
            </w:r>
            <w:proofErr w:type="gramStart"/>
            <w:r w:rsidRPr="002F1B7F">
              <w:rPr>
                <w:rFonts w:cstheme="minorHAnsi"/>
              </w:rPr>
              <w:t>napětí - harmonický</w:t>
            </w:r>
            <w:proofErr w:type="gramEnd"/>
            <w:r w:rsidRPr="002F1B7F">
              <w:rPr>
                <w:rFonts w:cstheme="minorHAnsi"/>
              </w:rPr>
              <w:t xml:space="preserve"> signál do </w:t>
            </w:r>
            <w:proofErr w:type="gramStart"/>
            <w:r w:rsidRPr="002F1B7F">
              <w:rPr>
                <w:rFonts w:cstheme="minorHAnsi"/>
              </w:rPr>
              <w:t>10V</w:t>
            </w:r>
            <w:proofErr w:type="gramEnd"/>
            <w:r w:rsidRPr="002F1B7F">
              <w:rPr>
                <w:rFonts w:cstheme="minorHAnsi"/>
              </w:rPr>
              <w:t>, zdvojené vstupní a výstupní zdířky, možnost připojení výstupního filtru - 3 dvoukolíkové součástky, možnost měření vstupního a výstupního proudu - 1 dvoukolíková součástka.</w:t>
            </w:r>
          </w:p>
        </w:tc>
        <w:tc>
          <w:tcPr>
            <w:tcW w:w="4793" w:type="dxa"/>
            <w:vAlign w:val="center"/>
          </w:tcPr>
          <w:p w14:paraId="0AD6B74F" w14:textId="77777777" w:rsidR="00F5272E" w:rsidRPr="005C669B" w:rsidRDefault="00F5272E" w:rsidP="002714AF">
            <w:pPr>
              <w:rPr>
                <w:rFonts w:eastAsia="Times New Roman" w:cstheme="minorHAnsi"/>
                <w:kern w:val="0"/>
                <w:lang w:eastAsia="cs-CZ"/>
                <w14:ligatures w14:val="none"/>
              </w:rPr>
            </w:pPr>
          </w:p>
        </w:tc>
      </w:tr>
      <w:tr w:rsidR="00F5272E" w:rsidRPr="005C669B" w14:paraId="6FDEAAA1" w14:textId="77777777" w:rsidTr="002714AF">
        <w:tc>
          <w:tcPr>
            <w:tcW w:w="1016" w:type="dxa"/>
            <w:vAlign w:val="center"/>
          </w:tcPr>
          <w:p w14:paraId="296692CC" w14:textId="77777777" w:rsidR="00F5272E" w:rsidRPr="005C669B" w:rsidRDefault="00F5272E" w:rsidP="002714AF">
            <w:pPr>
              <w:rPr>
                <w:rFonts w:cstheme="minorHAnsi"/>
              </w:rPr>
            </w:pPr>
            <w:r>
              <w:rPr>
                <w:rFonts w:cstheme="minorHAnsi"/>
              </w:rPr>
              <w:t>10</w:t>
            </w:r>
          </w:p>
        </w:tc>
        <w:tc>
          <w:tcPr>
            <w:tcW w:w="2359" w:type="dxa"/>
            <w:vAlign w:val="center"/>
          </w:tcPr>
          <w:p w14:paraId="5F1A562D" w14:textId="77777777" w:rsidR="00F5272E" w:rsidRPr="00D74F4A" w:rsidRDefault="00F5272E" w:rsidP="002714AF">
            <w:pPr>
              <w:jc w:val="center"/>
              <w:rPr>
                <w:rFonts w:ascii="Calibri" w:hAnsi="Calibri" w:cs="Calibri"/>
                <w:b/>
                <w:bCs/>
                <w:color w:val="000000"/>
              </w:rPr>
            </w:pPr>
            <w:r w:rsidRPr="00D74F4A">
              <w:rPr>
                <w:rFonts w:ascii="Calibri" w:hAnsi="Calibri" w:cs="Calibri"/>
                <w:b/>
                <w:bCs/>
                <w:color w:val="000000"/>
              </w:rPr>
              <w:t>Modul s paticí 1x16</w:t>
            </w:r>
          </w:p>
        </w:tc>
        <w:tc>
          <w:tcPr>
            <w:tcW w:w="784" w:type="dxa"/>
            <w:vAlign w:val="center"/>
          </w:tcPr>
          <w:p w14:paraId="1068F3C9" w14:textId="77777777" w:rsidR="00F5272E" w:rsidRPr="005C669B" w:rsidRDefault="00F5272E" w:rsidP="002714AF">
            <w:pPr>
              <w:rPr>
                <w:rFonts w:cstheme="minorHAnsi"/>
              </w:rPr>
            </w:pPr>
            <w:r>
              <w:rPr>
                <w:rFonts w:cstheme="minorHAnsi"/>
              </w:rPr>
              <w:t>5</w:t>
            </w:r>
          </w:p>
        </w:tc>
        <w:tc>
          <w:tcPr>
            <w:tcW w:w="6436" w:type="dxa"/>
            <w:vAlign w:val="center"/>
          </w:tcPr>
          <w:p w14:paraId="255D2E07" w14:textId="77777777" w:rsidR="00F5272E" w:rsidRPr="005C669B" w:rsidRDefault="00F5272E" w:rsidP="002714AF">
            <w:pPr>
              <w:rPr>
                <w:rFonts w:cstheme="minorHAnsi"/>
              </w:rPr>
            </w:pPr>
            <w:r w:rsidRPr="002F1B7F">
              <w:rPr>
                <w:rFonts w:cstheme="minorHAnsi"/>
              </w:rPr>
              <w:t>Modul se šestnácti pinovou paticí ZIF, kvalitní patice s nulovou silou s pozlacenými kontakty, zdvojená zdířka na každém pinu. Dva ostrůvky se čtyřmi propojenými zdířkami.</w:t>
            </w:r>
          </w:p>
        </w:tc>
        <w:tc>
          <w:tcPr>
            <w:tcW w:w="4793" w:type="dxa"/>
            <w:vAlign w:val="center"/>
          </w:tcPr>
          <w:p w14:paraId="02BB8B61" w14:textId="77777777" w:rsidR="00F5272E" w:rsidRPr="005C669B" w:rsidRDefault="00F5272E" w:rsidP="002714AF">
            <w:pPr>
              <w:rPr>
                <w:rFonts w:eastAsia="Times New Roman" w:cstheme="minorHAnsi"/>
                <w:kern w:val="0"/>
                <w:lang w:eastAsia="cs-CZ"/>
                <w14:ligatures w14:val="none"/>
              </w:rPr>
            </w:pPr>
          </w:p>
        </w:tc>
      </w:tr>
      <w:tr w:rsidR="00F5272E" w:rsidRPr="005C669B" w14:paraId="4633078D" w14:textId="77777777" w:rsidTr="002714AF">
        <w:tc>
          <w:tcPr>
            <w:tcW w:w="1016" w:type="dxa"/>
            <w:vAlign w:val="center"/>
          </w:tcPr>
          <w:p w14:paraId="4C44CAA4" w14:textId="77777777" w:rsidR="00F5272E" w:rsidRPr="005C669B" w:rsidRDefault="00F5272E" w:rsidP="002714AF">
            <w:pPr>
              <w:rPr>
                <w:rFonts w:cstheme="minorHAnsi"/>
              </w:rPr>
            </w:pPr>
            <w:r>
              <w:rPr>
                <w:rFonts w:cstheme="minorHAnsi"/>
              </w:rPr>
              <w:t>11</w:t>
            </w:r>
          </w:p>
        </w:tc>
        <w:tc>
          <w:tcPr>
            <w:tcW w:w="2359" w:type="dxa"/>
            <w:vAlign w:val="center"/>
          </w:tcPr>
          <w:p w14:paraId="061ED291" w14:textId="77777777" w:rsidR="00F5272E" w:rsidRPr="00D74F4A" w:rsidRDefault="00F5272E" w:rsidP="002714AF">
            <w:pPr>
              <w:jc w:val="center"/>
              <w:rPr>
                <w:rFonts w:ascii="Calibri" w:hAnsi="Calibri" w:cs="Calibri"/>
                <w:b/>
                <w:bCs/>
                <w:color w:val="000000"/>
              </w:rPr>
            </w:pPr>
            <w:r w:rsidRPr="00D74F4A">
              <w:rPr>
                <w:rFonts w:ascii="Calibri" w:hAnsi="Calibri" w:cs="Calibri"/>
                <w:b/>
                <w:bCs/>
                <w:color w:val="000000"/>
              </w:rPr>
              <w:t>Modul operačního zesilovače</w:t>
            </w:r>
          </w:p>
        </w:tc>
        <w:tc>
          <w:tcPr>
            <w:tcW w:w="784" w:type="dxa"/>
            <w:vAlign w:val="center"/>
          </w:tcPr>
          <w:p w14:paraId="6780C81C" w14:textId="77777777" w:rsidR="00F5272E" w:rsidRPr="005C669B" w:rsidRDefault="00F5272E" w:rsidP="002714AF">
            <w:pPr>
              <w:rPr>
                <w:rFonts w:cstheme="minorHAnsi"/>
              </w:rPr>
            </w:pPr>
            <w:r>
              <w:rPr>
                <w:rFonts w:cstheme="minorHAnsi"/>
              </w:rPr>
              <w:t>10</w:t>
            </w:r>
          </w:p>
        </w:tc>
        <w:tc>
          <w:tcPr>
            <w:tcW w:w="6436" w:type="dxa"/>
            <w:vAlign w:val="center"/>
          </w:tcPr>
          <w:p w14:paraId="5289C64B" w14:textId="77777777" w:rsidR="00F5272E" w:rsidRPr="005C669B" w:rsidRDefault="00F5272E" w:rsidP="002714AF">
            <w:pPr>
              <w:rPr>
                <w:rFonts w:cstheme="minorHAnsi"/>
              </w:rPr>
            </w:pPr>
            <w:r w:rsidRPr="002F1B7F">
              <w:rPr>
                <w:rFonts w:cstheme="minorHAnsi"/>
              </w:rPr>
              <w:t xml:space="preserve">Modul umožňuje základní zapojení s OZ. Obsahuje 3 kladné vstupní větve pro 4 dvoukolíkové součástky, 3 záporné vstupní větve pro 4 dvoukolíkové součástky, kladný zpětnovazební dělič, záporný zpětnovazební dělič, záporná zpětná </w:t>
            </w:r>
            <w:proofErr w:type="gramStart"/>
            <w:r w:rsidRPr="002F1B7F">
              <w:rPr>
                <w:rFonts w:cstheme="minorHAnsi"/>
              </w:rPr>
              <w:t>vazba - dvě</w:t>
            </w:r>
            <w:proofErr w:type="gramEnd"/>
            <w:r w:rsidRPr="002F1B7F">
              <w:rPr>
                <w:rFonts w:cstheme="minorHAnsi"/>
              </w:rPr>
              <w:t xml:space="preserve"> sériově spojené součástky, výstupní dělič. AGND </w:t>
            </w:r>
            <w:proofErr w:type="gramStart"/>
            <w:r w:rsidRPr="002F1B7F">
              <w:rPr>
                <w:rFonts w:cstheme="minorHAnsi"/>
              </w:rPr>
              <w:t xml:space="preserve">vodič - </w:t>
            </w:r>
            <w:r w:rsidRPr="002F1B7F">
              <w:rPr>
                <w:rFonts w:cstheme="minorHAnsi"/>
              </w:rPr>
              <w:lastRenderedPageBreak/>
              <w:t>minimálně</w:t>
            </w:r>
            <w:proofErr w:type="gramEnd"/>
            <w:r w:rsidRPr="002F1B7F">
              <w:rPr>
                <w:rFonts w:cstheme="minorHAnsi"/>
              </w:rPr>
              <w:t xml:space="preserve"> 6 zdířek, vstupy a výstupy se zdvojenými zdířkami. Výstupní proud v rozsahu ±</w:t>
            </w:r>
            <w:proofErr w:type="gramStart"/>
            <w:r w:rsidRPr="002F1B7F">
              <w:rPr>
                <w:rFonts w:cstheme="minorHAnsi"/>
              </w:rPr>
              <w:t>22mA - při</w:t>
            </w:r>
            <w:proofErr w:type="gramEnd"/>
            <w:r w:rsidRPr="002F1B7F">
              <w:rPr>
                <w:rFonts w:cstheme="minorHAnsi"/>
              </w:rPr>
              <w:t xml:space="preserve"> přetížení indikace červenou LED, indikace saturačních napětí žlutou LED pro </w:t>
            </w:r>
            <w:proofErr w:type="spellStart"/>
            <w:proofErr w:type="gramStart"/>
            <w:r w:rsidRPr="002F1B7F">
              <w:rPr>
                <w:rFonts w:cstheme="minorHAnsi"/>
              </w:rPr>
              <w:t>Uout</w:t>
            </w:r>
            <w:proofErr w:type="spellEnd"/>
            <w:r w:rsidRPr="002F1B7F">
              <w:rPr>
                <w:rFonts w:cstheme="minorHAnsi"/>
              </w:rPr>
              <w:t>&gt;±11V</w:t>
            </w:r>
            <w:proofErr w:type="gramEnd"/>
            <w:r w:rsidRPr="002F1B7F">
              <w:rPr>
                <w:rFonts w:cstheme="minorHAnsi"/>
              </w:rPr>
              <w:t>. Ofset &lt;50μV, vstupní proud &lt;50pA, zesílení &gt;</w:t>
            </w:r>
            <w:proofErr w:type="gramStart"/>
            <w:r w:rsidRPr="002F1B7F">
              <w:rPr>
                <w:rFonts w:cstheme="minorHAnsi"/>
              </w:rPr>
              <w:t>120dB</w:t>
            </w:r>
            <w:proofErr w:type="gramEnd"/>
            <w:r w:rsidRPr="002F1B7F">
              <w:rPr>
                <w:rFonts w:cstheme="minorHAnsi"/>
              </w:rPr>
              <w:t>. Galvanicky odděleno od napájení.</w:t>
            </w:r>
          </w:p>
        </w:tc>
        <w:tc>
          <w:tcPr>
            <w:tcW w:w="4793" w:type="dxa"/>
            <w:vAlign w:val="center"/>
          </w:tcPr>
          <w:p w14:paraId="0A890936" w14:textId="77777777" w:rsidR="00F5272E" w:rsidRPr="005C669B" w:rsidRDefault="00F5272E" w:rsidP="002714AF">
            <w:pPr>
              <w:rPr>
                <w:rFonts w:eastAsia="Times New Roman" w:cstheme="minorHAnsi"/>
                <w:kern w:val="0"/>
                <w:lang w:eastAsia="cs-CZ"/>
                <w14:ligatures w14:val="none"/>
              </w:rPr>
            </w:pPr>
          </w:p>
        </w:tc>
      </w:tr>
      <w:tr w:rsidR="00F5272E" w:rsidRPr="005C669B" w14:paraId="311D88FC" w14:textId="77777777" w:rsidTr="002714AF">
        <w:tc>
          <w:tcPr>
            <w:tcW w:w="1016" w:type="dxa"/>
            <w:vAlign w:val="center"/>
          </w:tcPr>
          <w:p w14:paraId="2EB58923" w14:textId="77777777" w:rsidR="00F5272E" w:rsidRPr="005C669B" w:rsidRDefault="00F5272E" w:rsidP="002714AF">
            <w:pPr>
              <w:rPr>
                <w:rFonts w:cstheme="minorHAnsi"/>
              </w:rPr>
            </w:pPr>
            <w:r>
              <w:rPr>
                <w:rFonts w:cstheme="minorHAnsi"/>
              </w:rPr>
              <w:t>12</w:t>
            </w:r>
          </w:p>
        </w:tc>
        <w:tc>
          <w:tcPr>
            <w:tcW w:w="2359" w:type="dxa"/>
            <w:vAlign w:val="center"/>
          </w:tcPr>
          <w:p w14:paraId="055AC030" w14:textId="77777777" w:rsidR="00F5272E" w:rsidRPr="00D74F4A" w:rsidRDefault="00F5272E" w:rsidP="002714AF">
            <w:pPr>
              <w:jc w:val="center"/>
              <w:rPr>
                <w:rFonts w:ascii="Calibri" w:hAnsi="Calibri" w:cs="Calibri"/>
                <w:b/>
                <w:bCs/>
                <w:color w:val="000000"/>
              </w:rPr>
            </w:pPr>
            <w:r w:rsidRPr="00D74F4A">
              <w:rPr>
                <w:rFonts w:ascii="Calibri" w:hAnsi="Calibri" w:cs="Calibri"/>
                <w:b/>
                <w:bCs/>
                <w:color w:val="000000"/>
              </w:rPr>
              <w:t>Zdroj +</w:t>
            </w:r>
            <w:proofErr w:type="gramStart"/>
            <w:r w:rsidRPr="00D74F4A">
              <w:rPr>
                <w:rFonts w:ascii="Calibri" w:hAnsi="Calibri" w:cs="Calibri"/>
                <w:b/>
                <w:bCs/>
                <w:color w:val="000000"/>
              </w:rPr>
              <w:t>5V</w:t>
            </w:r>
            <w:proofErr w:type="gramEnd"/>
          </w:p>
        </w:tc>
        <w:tc>
          <w:tcPr>
            <w:tcW w:w="784" w:type="dxa"/>
            <w:vAlign w:val="center"/>
          </w:tcPr>
          <w:p w14:paraId="058B94F5" w14:textId="77777777" w:rsidR="00F5272E" w:rsidRPr="005C669B" w:rsidRDefault="00F5272E" w:rsidP="002714AF">
            <w:pPr>
              <w:rPr>
                <w:rFonts w:cstheme="minorHAnsi"/>
              </w:rPr>
            </w:pPr>
            <w:r>
              <w:rPr>
                <w:rFonts w:cstheme="minorHAnsi"/>
              </w:rPr>
              <w:t>5</w:t>
            </w:r>
          </w:p>
        </w:tc>
        <w:tc>
          <w:tcPr>
            <w:tcW w:w="6436" w:type="dxa"/>
            <w:vAlign w:val="center"/>
          </w:tcPr>
          <w:p w14:paraId="56DE323A" w14:textId="77777777" w:rsidR="00F5272E" w:rsidRPr="005C669B" w:rsidRDefault="00F5272E" w:rsidP="002714AF">
            <w:pPr>
              <w:rPr>
                <w:rFonts w:cstheme="minorHAnsi"/>
              </w:rPr>
            </w:pPr>
            <w:r w:rsidRPr="002F1B7F">
              <w:rPr>
                <w:rFonts w:cstheme="minorHAnsi"/>
              </w:rPr>
              <w:t xml:space="preserve">Externí síťový spínaný zdroj napájecího napětí. Musí splňovat bezpečnostní standardy EN60950, IEC950, EN55022. Přívodní dvouvodičový kabel s konektorem IEC 320. Pevně připojený výstupní kabel délky </w:t>
            </w:r>
            <w:proofErr w:type="gramStart"/>
            <w:r w:rsidRPr="002F1B7F">
              <w:rPr>
                <w:rFonts w:cstheme="minorHAnsi"/>
              </w:rPr>
              <w:t>40cm</w:t>
            </w:r>
            <w:proofErr w:type="gramEnd"/>
            <w:r w:rsidRPr="002F1B7F">
              <w:rPr>
                <w:rFonts w:cstheme="minorHAnsi"/>
              </w:rPr>
              <w:t xml:space="preserve"> se zlacenými bezpečnostními konektory průměru </w:t>
            </w:r>
            <w:proofErr w:type="gramStart"/>
            <w:r w:rsidRPr="002F1B7F">
              <w:rPr>
                <w:rFonts w:cstheme="minorHAnsi"/>
              </w:rPr>
              <w:t>2mm</w:t>
            </w:r>
            <w:proofErr w:type="gramEnd"/>
            <w:r w:rsidRPr="002F1B7F">
              <w:rPr>
                <w:rFonts w:cstheme="minorHAnsi"/>
              </w:rPr>
              <w:t xml:space="preserve">. Na výstupu pojistka proti zkratu a proti přepětí s automatickým zotavením. Výstupní napětí </w:t>
            </w:r>
            <w:proofErr w:type="gramStart"/>
            <w:r w:rsidRPr="002F1B7F">
              <w:rPr>
                <w:rFonts w:cstheme="minorHAnsi"/>
              </w:rPr>
              <w:t>5V</w:t>
            </w:r>
            <w:proofErr w:type="gramEnd"/>
            <w:r w:rsidRPr="002F1B7F">
              <w:rPr>
                <w:rFonts w:cstheme="minorHAnsi"/>
              </w:rPr>
              <w:t xml:space="preserve"> ±</w:t>
            </w:r>
            <w:proofErr w:type="gramStart"/>
            <w:r w:rsidRPr="002F1B7F">
              <w:rPr>
                <w:rFonts w:cstheme="minorHAnsi"/>
              </w:rPr>
              <w:t>6%</w:t>
            </w:r>
            <w:proofErr w:type="gramEnd"/>
            <w:r w:rsidRPr="002F1B7F">
              <w:rPr>
                <w:rFonts w:cstheme="minorHAnsi"/>
              </w:rPr>
              <w:t xml:space="preserve">, výstupní proud </w:t>
            </w:r>
            <w:proofErr w:type="gramStart"/>
            <w:r w:rsidRPr="002F1B7F">
              <w:rPr>
                <w:rFonts w:cstheme="minorHAnsi"/>
              </w:rPr>
              <w:t>4A</w:t>
            </w:r>
            <w:proofErr w:type="gramEnd"/>
            <w:r w:rsidRPr="002F1B7F">
              <w:rPr>
                <w:rFonts w:cstheme="minorHAnsi"/>
              </w:rPr>
              <w:t>.</w:t>
            </w:r>
          </w:p>
        </w:tc>
        <w:tc>
          <w:tcPr>
            <w:tcW w:w="4793" w:type="dxa"/>
            <w:vAlign w:val="center"/>
          </w:tcPr>
          <w:p w14:paraId="2539AFE4" w14:textId="77777777" w:rsidR="00F5272E" w:rsidRPr="005C669B" w:rsidRDefault="00F5272E" w:rsidP="002714AF">
            <w:pPr>
              <w:rPr>
                <w:rFonts w:eastAsia="Times New Roman" w:cstheme="minorHAnsi"/>
                <w:kern w:val="0"/>
                <w:lang w:eastAsia="cs-CZ"/>
                <w14:ligatures w14:val="none"/>
              </w:rPr>
            </w:pPr>
          </w:p>
        </w:tc>
      </w:tr>
      <w:tr w:rsidR="00F5272E" w:rsidRPr="005C669B" w14:paraId="11F27E99" w14:textId="77777777" w:rsidTr="002714AF">
        <w:tc>
          <w:tcPr>
            <w:tcW w:w="1016" w:type="dxa"/>
            <w:vAlign w:val="center"/>
          </w:tcPr>
          <w:p w14:paraId="551CE624" w14:textId="77777777" w:rsidR="00F5272E" w:rsidRPr="005C669B" w:rsidRDefault="00F5272E" w:rsidP="002714AF">
            <w:pPr>
              <w:rPr>
                <w:rFonts w:cstheme="minorHAnsi"/>
              </w:rPr>
            </w:pPr>
            <w:r>
              <w:rPr>
                <w:rFonts w:cstheme="minorHAnsi"/>
              </w:rPr>
              <w:t>13</w:t>
            </w:r>
          </w:p>
        </w:tc>
        <w:tc>
          <w:tcPr>
            <w:tcW w:w="2359" w:type="dxa"/>
            <w:vAlign w:val="center"/>
          </w:tcPr>
          <w:p w14:paraId="50B5CE91" w14:textId="77777777" w:rsidR="00F5272E" w:rsidRPr="00D74F4A" w:rsidRDefault="00F5272E" w:rsidP="002714AF">
            <w:pPr>
              <w:jc w:val="center"/>
              <w:rPr>
                <w:rFonts w:ascii="Calibri" w:hAnsi="Calibri" w:cs="Calibri"/>
                <w:b/>
                <w:bCs/>
                <w:color w:val="000000"/>
              </w:rPr>
            </w:pPr>
            <w:r w:rsidRPr="00D74F4A">
              <w:rPr>
                <w:rFonts w:ascii="Calibri" w:hAnsi="Calibri" w:cs="Calibri"/>
                <w:b/>
                <w:bCs/>
                <w:color w:val="000000"/>
              </w:rPr>
              <w:t>Rozvod napájení univerzální</w:t>
            </w:r>
          </w:p>
        </w:tc>
        <w:tc>
          <w:tcPr>
            <w:tcW w:w="784" w:type="dxa"/>
            <w:vAlign w:val="center"/>
          </w:tcPr>
          <w:p w14:paraId="69C26232" w14:textId="77777777" w:rsidR="00F5272E" w:rsidRPr="005C669B" w:rsidRDefault="00F5272E" w:rsidP="002714AF">
            <w:pPr>
              <w:rPr>
                <w:rFonts w:cstheme="minorHAnsi"/>
              </w:rPr>
            </w:pPr>
            <w:r>
              <w:rPr>
                <w:rFonts w:cstheme="minorHAnsi"/>
              </w:rPr>
              <w:t>5</w:t>
            </w:r>
          </w:p>
        </w:tc>
        <w:tc>
          <w:tcPr>
            <w:tcW w:w="6436" w:type="dxa"/>
            <w:vAlign w:val="center"/>
          </w:tcPr>
          <w:p w14:paraId="56E5A9AC" w14:textId="5134AF88" w:rsidR="00F5272E" w:rsidRPr="005C669B" w:rsidRDefault="00F5272E" w:rsidP="002714AF">
            <w:pPr>
              <w:rPr>
                <w:rFonts w:cstheme="minorHAnsi"/>
              </w:rPr>
            </w:pPr>
            <w:r w:rsidRPr="002F1B7F">
              <w:rPr>
                <w:rFonts w:cstheme="minorHAnsi"/>
              </w:rPr>
              <w:t>Rozvod napájení s rámečky pro umístění měřené úlohy. Obsahuje rámeček pro měřicí jednotku a prostor pro osm modulů rozměrů 50x100mm nebo jeden modul 250x150mm a tři moduly 50x100mm. Napájecí svorkovnice obsahuje zlacené vstupní a zdvojené výstupní bezpečnostní 2mm konektory a vypínač napájecího napětí s indikací LED. Lišta pro napájení modulů je opatřena zdvojenými zdířkami pro kabelové kolíky průměru 1,5mm pro napájení každého modulu a 4x samostatný ostrůvek se 4 zdířkami.</w:t>
            </w:r>
          </w:p>
        </w:tc>
        <w:tc>
          <w:tcPr>
            <w:tcW w:w="4793" w:type="dxa"/>
            <w:vAlign w:val="center"/>
          </w:tcPr>
          <w:p w14:paraId="43AAFE81" w14:textId="77777777" w:rsidR="00F5272E" w:rsidRPr="005C669B" w:rsidRDefault="00F5272E" w:rsidP="002714AF">
            <w:pPr>
              <w:rPr>
                <w:rFonts w:eastAsia="Times New Roman" w:cstheme="minorHAnsi"/>
                <w:kern w:val="0"/>
                <w:lang w:eastAsia="cs-CZ"/>
                <w14:ligatures w14:val="none"/>
              </w:rPr>
            </w:pPr>
          </w:p>
        </w:tc>
      </w:tr>
    </w:tbl>
    <w:p w14:paraId="2060B732" w14:textId="77777777" w:rsidR="00A623C2" w:rsidRDefault="00426897" w:rsidP="00426897">
      <w:pPr>
        <w:rPr>
          <w:b/>
          <w:bCs/>
          <w:sz w:val="40"/>
          <w:szCs w:val="40"/>
        </w:rPr>
      </w:pPr>
      <w:r>
        <w:rPr>
          <w:b/>
          <w:bCs/>
          <w:sz w:val="40"/>
          <w:szCs w:val="40"/>
        </w:rPr>
        <w:t xml:space="preserve">                                           </w:t>
      </w:r>
    </w:p>
    <w:p w14:paraId="4801B329" w14:textId="3960B721" w:rsidR="00426897" w:rsidRDefault="00426897" w:rsidP="00A623C2">
      <w:pPr>
        <w:jc w:val="center"/>
        <w:rPr>
          <w:b/>
          <w:bCs/>
          <w:sz w:val="40"/>
          <w:szCs w:val="40"/>
        </w:rPr>
      </w:pPr>
      <w:r>
        <w:rPr>
          <w:b/>
          <w:bCs/>
          <w:sz w:val="40"/>
          <w:szCs w:val="40"/>
        </w:rPr>
        <w:t>CELKOVÁ CENA ZAKÁZKY</w:t>
      </w:r>
    </w:p>
    <w:tbl>
      <w:tblPr>
        <w:tblW w:w="1545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96"/>
        <w:gridCol w:w="9754"/>
      </w:tblGrid>
      <w:tr w:rsidR="00F5272E" w14:paraId="738CA214" w14:textId="77777777" w:rsidTr="002714AF">
        <w:trPr>
          <w:trHeight w:val="524"/>
        </w:trPr>
        <w:tc>
          <w:tcPr>
            <w:tcW w:w="5696" w:type="dxa"/>
          </w:tcPr>
          <w:p w14:paraId="6ECB7DE1" w14:textId="766F9C1B" w:rsidR="00F5272E" w:rsidRDefault="00426897" w:rsidP="002714AF">
            <w:r>
              <w:rPr>
                <w:b/>
                <w:bCs/>
                <w:sz w:val="40"/>
                <w:szCs w:val="40"/>
              </w:rPr>
              <w:t xml:space="preserve">                                                 </w:t>
            </w:r>
            <w:r w:rsidR="00F5272E">
              <w:rPr>
                <w:rFonts w:ascii="Arial" w:hAnsi="Arial" w:cs="Arial"/>
                <w:b/>
                <w:bCs/>
                <w:sz w:val="28"/>
                <w:szCs w:val="28"/>
              </w:rPr>
              <w:t xml:space="preserve">Cena celkem </w:t>
            </w:r>
            <w:r w:rsidR="00F5272E" w:rsidRPr="00803468">
              <w:rPr>
                <w:rFonts w:ascii="Arial" w:hAnsi="Arial" w:cs="Arial"/>
                <w:b/>
                <w:bCs/>
                <w:sz w:val="28"/>
                <w:szCs w:val="28"/>
              </w:rPr>
              <w:t>bez DPH</w:t>
            </w:r>
            <w:r w:rsidR="00F5272E">
              <w:rPr>
                <w:rFonts w:ascii="Arial" w:hAnsi="Arial" w:cs="Arial"/>
                <w:b/>
                <w:bCs/>
                <w:sz w:val="28"/>
                <w:szCs w:val="28"/>
              </w:rPr>
              <w:t xml:space="preserve"> (Kč)</w:t>
            </w:r>
          </w:p>
        </w:tc>
        <w:tc>
          <w:tcPr>
            <w:tcW w:w="9754" w:type="dxa"/>
          </w:tcPr>
          <w:p w14:paraId="0FA90E5D" w14:textId="77777777" w:rsidR="00F5272E" w:rsidRDefault="00F5272E" w:rsidP="002714AF"/>
          <w:p w14:paraId="6398AF5E" w14:textId="77777777" w:rsidR="00F5272E" w:rsidRDefault="00F5272E" w:rsidP="002714AF"/>
        </w:tc>
      </w:tr>
      <w:tr w:rsidR="00F5272E" w14:paraId="098156A4" w14:textId="77777777" w:rsidTr="002714AF">
        <w:trPr>
          <w:trHeight w:val="533"/>
        </w:trPr>
        <w:tc>
          <w:tcPr>
            <w:tcW w:w="5696" w:type="dxa"/>
          </w:tcPr>
          <w:p w14:paraId="7532DFE9" w14:textId="77777777" w:rsidR="00F5272E" w:rsidRDefault="00F5272E" w:rsidP="002714AF">
            <w:r w:rsidRPr="00803468">
              <w:rPr>
                <w:rFonts w:ascii="Arial" w:hAnsi="Arial" w:cs="Arial"/>
                <w:b/>
                <w:bCs/>
                <w:sz w:val="28"/>
                <w:szCs w:val="28"/>
              </w:rPr>
              <w:t>DPH 21 %</w:t>
            </w:r>
            <w:r>
              <w:rPr>
                <w:rFonts w:ascii="Arial" w:hAnsi="Arial" w:cs="Arial"/>
                <w:b/>
                <w:bCs/>
                <w:sz w:val="28"/>
                <w:szCs w:val="28"/>
              </w:rPr>
              <w:t xml:space="preserve"> (Kč)</w:t>
            </w:r>
          </w:p>
        </w:tc>
        <w:tc>
          <w:tcPr>
            <w:tcW w:w="9754" w:type="dxa"/>
          </w:tcPr>
          <w:p w14:paraId="3BC4D738" w14:textId="77777777" w:rsidR="00F5272E" w:rsidRDefault="00F5272E" w:rsidP="002714AF"/>
        </w:tc>
      </w:tr>
      <w:tr w:rsidR="00F5272E" w14:paraId="58FB0A9F" w14:textId="77777777" w:rsidTr="002714AF">
        <w:trPr>
          <w:trHeight w:val="509"/>
        </w:trPr>
        <w:tc>
          <w:tcPr>
            <w:tcW w:w="5696" w:type="dxa"/>
          </w:tcPr>
          <w:p w14:paraId="41E57625" w14:textId="77777777" w:rsidR="00F5272E" w:rsidRPr="00486AAD" w:rsidRDefault="00F5272E" w:rsidP="002714AF">
            <w:r>
              <w:rPr>
                <w:rFonts w:ascii="Arial" w:hAnsi="Arial" w:cs="Arial"/>
                <w:b/>
                <w:bCs/>
                <w:sz w:val="28"/>
                <w:szCs w:val="28"/>
              </w:rPr>
              <w:t>Cena celkem včetně</w:t>
            </w:r>
            <w:r w:rsidRPr="00803468">
              <w:rPr>
                <w:rFonts w:ascii="Arial" w:hAnsi="Arial" w:cs="Arial"/>
                <w:b/>
                <w:bCs/>
                <w:sz w:val="28"/>
                <w:szCs w:val="28"/>
              </w:rPr>
              <w:t xml:space="preserve"> DPH</w:t>
            </w:r>
            <w:r>
              <w:rPr>
                <w:rFonts w:ascii="Arial" w:hAnsi="Arial" w:cs="Arial"/>
                <w:b/>
                <w:bCs/>
                <w:sz w:val="28"/>
                <w:szCs w:val="28"/>
              </w:rPr>
              <w:t xml:space="preserve"> (Kč)</w:t>
            </w:r>
          </w:p>
        </w:tc>
        <w:tc>
          <w:tcPr>
            <w:tcW w:w="9754" w:type="dxa"/>
          </w:tcPr>
          <w:p w14:paraId="1AF2357F" w14:textId="77777777" w:rsidR="00F5272E" w:rsidRDefault="00F5272E" w:rsidP="002714AF"/>
        </w:tc>
      </w:tr>
    </w:tbl>
    <w:p w14:paraId="4F593791" w14:textId="77777777" w:rsidR="00B25793" w:rsidRPr="00CF3EBB" w:rsidRDefault="00B25793" w:rsidP="00426897">
      <w:pPr>
        <w:rPr>
          <w:rFonts w:ascii="Tahoma" w:hAnsi="Tahoma" w:cs="Tahoma"/>
          <w:i/>
          <w:iCs/>
          <w:color w:val="FF0000"/>
          <w:sz w:val="22"/>
          <w:szCs w:val="22"/>
        </w:rPr>
      </w:pPr>
    </w:p>
    <w:sectPr w:rsidR="00B25793" w:rsidRPr="00CF3EBB" w:rsidSect="00F5272E">
      <w:headerReference w:type="default" r:id="rId13"/>
      <w:footerReference w:type="even" r:id="rId14"/>
      <w:footerReference w:type="default" r:id="rId15"/>
      <w:footerReference w:type="first" r:id="rId16"/>
      <w:pgSz w:w="16838" w:h="11906" w:orient="landscape"/>
      <w:pgMar w:top="683" w:right="720" w:bottom="2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C8D38" w14:textId="77777777" w:rsidR="00071F18" w:rsidRDefault="00071F18">
      <w:r>
        <w:separator/>
      </w:r>
    </w:p>
  </w:endnote>
  <w:endnote w:type="continuationSeparator" w:id="0">
    <w:p w14:paraId="3357413F" w14:textId="77777777" w:rsidR="00071F18" w:rsidRDefault="0007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5680"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DBB0A4F" w:rsidR="00103E8A" w:rsidRDefault="00B25793">
    <w:pPr>
      <w:pStyle w:val="Zpat"/>
    </w:pPr>
    <w:r>
      <w:t xml:space="preserve">Nákup učebních pomůcek grant </w:t>
    </w:r>
    <w:proofErr w:type="spellStart"/>
    <w:r>
      <w:t>onsemi</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559CC" w14:textId="77777777" w:rsidR="00442CC6" w:rsidRDefault="00442CC6" w:rsidP="00442CC6">
    <w:pPr>
      <w:pStyle w:val="Zpat"/>
    </w:pPr>
    <w:r>
      <w:t xml:space="preserve">Nákup učebních pomůcek grant </w:t>
    </w:r>
    <w:proofErr w:type="spellStart"/>
    <w:r>
      <w:t>onsemi</w:t>
    </w:r>
    <w:proofErr w:type="spellEnd"/>
  </w:p>
  <w:p w14:paraId="0F1A83F0" w14:textId="5EEE74DE" w:rsidR="00726A43" w:rsidRDefault="00F61AB7">
    <w:pPr>
      <w:pStyle w:val="Zpat"/>
    </w:pPr>
    <w:r>
      <w:rPr>
        <w:noProof/>
      </w:rPr>
      <mc:AlternateContent>
        <mc:Choice Requires="wps">
          <w:drawing>
            <wp:anchor distT="0" distB="0" distL="114300" distR="114300" simplePos="0" relativeHeight="251656704"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F7E5A" w14:textId="77777777" w:rsidR="00F5272E" w:rsidRDefault="00F5272E">
    <w:pPr>
      <w:pStyle w:val="Zpat"/>
    </w:pPr>
    <w:r>
      <w:rPr>
        <w:noProof/>
      </w:rPr>
      <mc:AlternateContent>
        <mc:Choice Requires="wps">
          <w:drawing>
            <wp:anchor distT="0" distB="0" distL="0" distR="0" simplePos="0" relativeHeight="251657728" behindDoc="0" locked="0" layoutInCell="1" allowOverlap="1" wp14:anchorId="58D9358D" wp14:editId="1FE83A1E">
              <wp:simplePos x="635" y="635"/>
              <wp:positionH relativeFrom="page">
                <wp:align>left</wp:align>
              </wp:positionH>
              <wp:positionV relativeFrom="page">
                <wp:align>bottom</wp:align>
              </wp:positionV>
              <wp:extent cx="443865" cy="443865"/>
              <wp:effectExtent l="0" t="0" r="18415" b="0"/>
              <wp:wrapNone/>
              <wp:docPr id="237187209"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6EA9E8" w14:textId="77777777" w:rsidR="00F5272E" w:rsidRPr="00CF005B" w:rsidRDefault="00F5272E" w:rsidP="00CF005B">
                          <w:pPr>
                            <w:rPr>
                              <w:rFonts w:ascii="Calibri" w:eastAsia="Calibri" w:hAnsi="Calibri" w:cs="Calibri"/>
                              <w:noProof/>
                              <w:color w:val="000000"/>
                              <w:sz w:val="18"/>
                              <w:szCs w:val="18"/>
                            </w:rPr>
                          </w:pPr>
                          <w:r w:rsidRPr="00CF005B">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D9358D" id="_x0000_t202" coordsize="21600,21600" o:spt="202" path="m,l,21600r21600,l21600,xe">
              <v:stroke joinstyle="miter"/>
              <v:path gradientshapeok="t" o:connecttype="rect"/>
            </v:shapetype>
            <v:shape id="Textové pole 2" o:spid="_x0000_s1028" type="#_x0000_t202" alt="Klasifikace informací: Neveřejné"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626EA9E8" w14:textId="77777777" w:rsidR="00F5272E" w:rsidRPr="00CF005B" w:rsidRDefault="00F5272E" w:rsidP="00CF005B">
                    <w:pPr>
                      <w:rPr>
                        <w:rFonts w:ascii="Calibri" w:eastAsia="Calibri" w:hAnsi="Calibri" w:cs="Calibri"/>
                        <w:noProof/>
                        <w:color w:val="000000"/>
                        <w:sz w:val="18"/>
                        <w:szCs w:val="18"/>
                      </w:rPr>
                    </w:pPr>
                    <w:r w:rsidRPr="00CF005B">
                      <w:rPr>
                        <w:rFonts w:ascii="Calibri" w:eastAsia="Calibri" w:hAnsi="Calibri" w:cs="Calibri"/>
                        <w:noProof/>
                        <w:color w:val="000000"/>
                        <w:sz w:val="18"/>
                        <w:szCs w:val="18"/>
                      </w:rPr>
                      <w:t>Klasifikace informací: Neveřejné</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2C2A4" w14:textId="77777777" w:rsidR="00F5272E" w:rsidRDefault="00F5272E">
    <w:pPr>
      <w:pStyle w:val="Zpat"/>
    </w:pPr>
    <w:r>
      <w:rPr>
        <w:noProof/>
      </w:rPr>
      <mc:AlternateContent>
        <mc:Choice Requires="wps">
          <w:drawing>
            <wp:anchor distT="0" distB="0" distL="0" distR="0" simplePos="0" relativeHeight="251658752" behindDoc="0" locked="0" layoutInCell="1" allowOverlap="1" wp14:anchorId="7BF4843F" wp14:editId="6E8261CA">
              <wp:simplePos x="635" y="635"/>
              <wp:positionH relativeFrom="page">
                <wp:align>left</wp:align>
              </wp:positionH>
              <wp:positionV relativeFrom="page">
                <wp:align>bottom</wp:align>
              </wp:positionV>
              <wp:extent cx="443865" cy="443865"/>
              <wp:effectExtent l="0" t="0" r="18415" b="0"/>
              <wp:wrapNone/>
              <wp:docPr id="635798515" name="Textové pole 3"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0A46D9" w14:textId="77777777" w:rsidR="00F5272E" w:rsidRPr="00CF005B" w:rsidRDefault="00F5272E" w:rsidP="00CF005B">
                          <w:pPr>
                            <w:rPr>
                              <w:rFonts w:ascii="Calibri" w:eastAsia="Calibri" w:hAnsi="Calibri" w:cs="Calibri"/>
                              <w:noProof/>
                              <w:color w:val="000000"/>
                              <w:sz w:val="18"/>
                              <w:szCs w:val="18"/>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F4843F" id="_x0000_t202" coordsize="21600,21600" o:spt="202" path="m,l,21600r21600,l21600,xe">
              <v:stroke joinstyle="miter"/>
              <v:path gradientshapeok="t" o:connecttype="rect"/>
            </v:shapetype>
            <v:shape id="Textové pole 3" o:spid="_x0000_s1029" type="#_x0000_t202" alt="Klasifikace informací: Neveřejné"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2B0A46D9" w14:textId="77777777" w:rsidR="00F5272E" w:rsidRPr="00CF005B" w:rsidRDefault="00F5272E" w:rsidP="00CF005B">
                    <w:pPr>
                      <w:rPr>
                        <w:rFonts w:ascii="Calibri" w:eastAsia="Calibri" w:hAnsi="Calibri" w:cs="Calibri"/>
                        <w:noProof/>
                        <w:color w:val="000000"/>
                        <w:sz w:val="18"/>
                        <w:szCs w:val="18"/>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ADE4" w14:textId="77777777" w:rsidR="00F5272E" w:rsidRDefault="00F5272E">
    <w:pPr>
      <w:pStyle w:val="Zpat"/>
    </w:pPr>
    <w:r>
      <w:rPr>
        <w:noProof/>
      </w:rPr>
      <mc:AlternateContent>
        <mc:Choice Requires="wps">
          <w:drawing>
            <wp:anchor distT="0" distB="0" distL="0" distR="0" simplePos="0" relativeHeight="251659776" behindDoc="0" locked="0" layoutInCell="1" allowOverlap="1" wp14:anchorId="134C16FD" wp14:editId="691AAAF8">
              <wp:simplePos x="635" y="635"/>
              <wp:positionH relativeFrom="page">
                <wp:align>left</wp:align>
              </wp:positionH>
              <wp:positionV relativeFrom="page">
                <wp:align>bottom</wp:align>
              </wp:positionV>
              <wp:extent cx="443865" cy="443865"/>
              <wp:effectExtent l="0" t="0" r="18415" b="0"/>
              <wp:wrapNone/>
              <wp:docPr id="860039678"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EE7ACC" w14:textId="77777777" w:rsidR="00F5272E" w:rsidRPr="00CF005B" w:rsidRDefault="00F5272E" w:rsidP="00CF005B">
                          <w:pPr>
                            <w:rPr>
                              <w:rFonts w:ascii="Calibri" w:eastAsia="Calibri" w:hAnsi="Calibri" w:cs="Calibri"/>
                              <w:noProof/>
                              <w:color w:val="000000"/>
                              <w:sz w:val="18"/>
                              <w:szCs w:val="18"/>
                            </w:rPr>
                          </w:pPr>
                          <w:r w:rsidRPr="00CF005B">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34C16FD" id="_x0000_t202" coordsize="21600,21600" o:spt="202" path="m,l,21600r21600,l21600,xe">
              <v:stroke joinstyle="miter"/>
              <v:path gradientshapeok="t" o:connecttype="rect"/>
            </v:shapetype>
            <v:shape id="Textové pole 1" o:spid="_x0000_s1030" type="#_x0000_t202" alt="Klasifikace informací: Neveřejné"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textbox style="mso-fit-shape-to-text:t" inset="20pt,0,0,15pt">
                <w:txbxContent>
                  <w:p w14:paraId="1AEE7ACC" w14:textId="77777777" w:rsidR="00F5272E" w:rsidRPr="00CF005B" w:rsidRDefault="00F5272E" w:rsidP="00CF005B">
                    <w:pPr>
                      <w:rPr>
                        <w:rFonts w:ascii="Calibri" w:eastAsia="Calibri" w:hAnsi="Calibri" w:cs="Calibri"/>
                        <w:noProof/>
                        <w:color w:val="000000"/>
                        <w:sz w:val="18"/>
                        <w:szCs w:val="18"/>
                      </w:rPr>
                    </w:pPr>
                    <w:r w:rsidRPr="00CF005B">
                      <w:rPr>
                        <w:rFonts w:ascii="Calibri" w:eastAsia="Calibri" w:hAnsi="Calibri" w:cs="Calibri"/>
                        <w:noProof/>
                        <w:color w:val="000000"/>
                        <w:sz w:val="18"/>
                        <w:szCs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0DFE4" w14:textId="77777777" w:rsidR="00071F18" w:rsidRDefault="00071F18">
      <w:r>
        <w:separator/>
      </w:r>
    </w:p>
  </w:footnote>
  <w:footnote w:type="continuationSeparator" w:id="0">
    <w:p w14:paraId="4A1A168B" w14:textId="77777777" w:rsidR="00071F18" w:rsidRDefault="00071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92BB8" w14:textId="77777777" w:rsidR="002771FE" w:rsidRDefault="002771FE">
    <w:pPr>
      <w:pStyle w:val="Zhlav"/>
    </w:pPr>
    <w:r>
      <w:t xml:space="preserve">                                                                                                                                                        </w:t>
    </w:r>
  </w:p>
  <w:p w14:paraId="68DDEC68" w14:textId="3018CFE7" w:rsidR="002771FE" w:rsidRDefault="002771FE">
    <w:pPr>
      <w:pStyle w:val="Zhlav"/>
    </w:pPr>
    <w:r>
      <w:t xml:space="preserve">                                                                                                                                    Příloha č.3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46896" w14:textId="03669912" w:rsidR="00F5272E" w:rsidRDefault="00F5272E" w:rsidP="00D74F4A">
    <w:pPr>
      <w:rPr>
        <w:rFonts w:ascii="Arial CE" w:hAnsi="Arial CE" w:cs="Arial CE"/>
        <w:b/>
        <w:bCs/>
      </w:rPr>
    </w:pPr>
    <w:r>
      <w:rPr>
        <w:rFonts w:ascii="Arial CE" w:hAnsi="Arial CE" w:cs="Arial CE"/>
        <w:b/>
        <w:bCs/>
      </w:rPr>
      <w:t xml:space="preserve">  Př.1 - T</w:t>
    </w:r>
    <w:r w:rsidRPr="004738E8">
      <w:rPr>
        <w:rFonts w:ascii="Arial CE" w:hAnsi="Arial CE" w:cs="Arial CE"/>
        <w:b/>
        <w:bCs/>
      </w:rPr>
      <w:t>echnick</w:t>
    </w:r>
    <w:r>
      <w:rPr>
        <w:rFonts w:ascii="Arial CE" w:hAnsi="Arial CE" w:cs="Arial CE"/>
        <w:b/>
        <w:bCs/>
      </w:rPr>
      <w:t>á</w:t>
    </w:r>
    <w:r w:rsidRPr="004738E8">
      <w:rPr>
        <w:rFonts w:ascii="Arial CE" w:hAnsi="Arial CE" w:cs="Arial CE"/>
        <w:b/>
        <w:bCs/>
      </w:rPr>
      <w:t xml:space="preserve"> specifikace</w:t>
    </w:r>
    <w:r>
      <w:rPr>
        <w:rFonts w:ascii="Arial CE" w:hAnsi="Arial CE" w:cs="Arial CE"/>
        <w:b/>
        <w:bCs/>
      </w:rPr>
      <w:t xml:space="preserve"> a rozpočet</w:t>
    </w:r>
  </w:p>
  <w:p w14:paraId="327D07E0" w14:textId="08F736D8" w:rsidR="00F5272E" w:rsidRDefault="00F5272E" w:rsidP="00D74F4A">
    <w:pPr>
      <w:pStyle w:val="Zhlav"/>
      <w:rPr>
        <w:rFonts w:ascii="Arial CE" w:hAnsi="Arial CE" w:cs="Arial CE"/>
        <w:b/>
        <w:bCs/>
      </w:rPr>
    </w:pPr>
    <w:r>
      <w:rPr>
        <w:rFonts w:ascii="Arial CE" w:hAnsi="Arial CE" w:cs="Arial CE"/>
        <w:b/>
        <w:bCs/>
      </w:rPr>
      <w:t xml:space="preserve">                                                                                                                                                               „Nákup učebních pomůcek grant </w:t>
    </w:r>
    <w:proofErr w:type="spellStart"/>
    <w:r>
      <w:rPr>
        <w:rFonts w:ascii="Arial CE" w:hAnsi="Arial CE" w:cs="Arial CE"/>
        <w:b/>
        <w:bCs/>
      </w:rPr>
      <w:t>onsemi</w:t>
    </w:r>
    <w:proofErr w:type="spellEnd"/>
    <w:r>
      <w:rPr>
        <w:rFonts w:ascii="Arial CE" w:hAnsi="Arial CE" w:cs="Arial CE"/>
        <w:b/>
        <w:bCs/>
      </w:rPr>
      <w:t>“</w:t>
    </w:r>
  </w:p>
  <w:p w14:paraId="01A3FDDC" w14:textId="77777777" w:rsidR="00F5272E" w:rsidRDefault="00F5272E" w:rsidP="004738E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B9DE4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F62857"/>
    <w:multiLevelType w:val="hybridMultilevel"/>
    <w:tmpl w:val="727A4A94"/>
    <w:lvl w:ilvl="0" w:tplc="FFFFFFFF">
      <w:start w:val="1"/>
      <w:numFmt w:val="decimal"/>
      <w:lvlText w:val="%1."/>
      <w:lvlJc w:val="left"/>
      <w:pPr>
        <w:tabs>
          <w:tab w:val="num" w:pos="360"/>
        </w:tabs>
        <w:ind w:left="357" w:hanging="357"/>
      </w:pPr>
      <w:rPr>
        <w:rFonts w:hint="default"/>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8"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2"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7E4148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563562813">
    <w:abstractNumId w:val="31"/>
  </w:num>
  <w:num w:numId="2" w16cid:durableId="2051415164">
    <w:abstractNumId w:val="17"/>
  </w:num>
  <w:num w:numId="3" w16cid:durableId="1645618848">
    <w:abstractNumId w:val="7"/>
  </w:num>
  <w:num w:numId="4" w16cid:durableId="1705515875">
    <w:abstractNumId w:val="1"/>
  </w:num>
  <w:num w:numId="5" w16cid:durableId="1469126907">
    <w:abstractNumId w:val="8"/>
  </w:num>
  <w:num w:numId="6" w16cid:durableId="749081090">
    <w:abstractNumId w:val="22"/>
  </w:num>
  <w:num w:numId="7" w16cid:durableId="491800171">
    <w:abstractNumId w:val="6"/>
  </w:num>
  <w:num w:numId="8" w16cid:durableId="1287471554">
    <w:abstractNumId w:val="23"/>
  </w:num>
  <w:num w:numId="9" w16cid:durableId="1351025219">
    <w:abstractNumId w:val="2"/>
  </w:num>
  <w:num w:numId="10" w16cid:durableId="924069281">
    <w:abstractNumId w:val="14"/>
  </w:num>
  <w:num w:numId="11" w16cid:durableId="716592252">
    <w:abstractNumId w:val="19"/>
  </w:num>
  <w:num w:numId="12" w16cid:durableId="81877412">
    <w:abstractNumId w:val="25"/>
  </w:num>
  <w:num w:numId="13" w16cid:durableId="436608508">
    <w:abstractNumId w:val="10"/>
  </w:num>
  <w:num w:numId="14" w16cid:durableId="428938857">
    <w:abstractNumId w:val="27"/>
  </w:num>
  <w:num w:numId="15" w16cid:durableId="440994924">
    <w:abstractNumId w:val="29"/>
  </w:num>
  <w:num w:numId="16" w16cid:durableId="1915160385">
    <w:abstractNumId w:val="28"/>
  </w:num>
  <w:num w:numId="17" w16cid:durableId="394353387">
    <w:abstractNumId w:val="21"/>
  </w:num>
  <w:num w:numId="18" w16cid:durableId="160432713">
    <w:abstractNumId w:val="9"/>
  </w:num>
  <w:num w:numId="19" w16cid:durableId="765921691">
    <w:abstractNumId w:val="12"/>
  </w:num>
  <w:num w:numId="20" w16cid:durableId="1455980496">
    <w:abstractNumId w:val="24"/>
  </w:num>
  <w:num w:numId="21" w16cid:durableId="1676297120">
    <w:abstractNumId w:val="13"/>
  </w:num>
  <w:num w:numId="22" w16cid:durableId="1357122751">
    <w:abstractNumId w:val="3"/>
  </w:num>
  <w:num w:numId="23" w16cid:durableId="236786337">
    <w:abstractNumId w:val="15"/>
  </w:num>
  <w:num w:numId="24" w16cid:durableId="205261779">
    <w:abstractNumId w:val="16"/>
  </w:num>
  <w:num w:numId="25" w16cid:durableId="1555502758">
    <w:abstractNumId w:val="20"/>
  </w:num>
  <w:num w:numId="26" w16cid:durableId="282662294">
    <w:abstractNumId w:val="11"/>
  </w:num>
  <w:num w:numId="27" w16cid:durableId="1578323903">
    <w:abstractNumId w:val="18"/>
  </w:num>
  <w:num w:numId="28" w16cid:durableId="409351173">
    <w:abstractNumId w:val="4"/>
  </w:num>
  <w:num w:numId="29" w16cid:durableId="1563367570">
    <w:abstractNumId w:val="30"/>
  </w:num>
  <w:num w:numId="30" w16cid:durableId="1119379386">
    <w:abstractNumId w:val="5"/>
  </w:num>
  <w:num w:numId="31" w16cid:durableId="1887402874">
    <w:abstractNumId w:val="0"/>
  </w:num>
  <w:num w:numId="32" w16cid:durableId="1907493512">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1F18"/>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576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65D84"/>
    <w:rsid w:val="002771FE"/>
    <w:rsid w:val="00281D7A"/>
    <w:rsid w:val="002839BB"/>
    <w:rsid w:val="002A3A16"/>
    <w:rsid w:val="002A7324"/>
    <w:rsid w:val="002B0CD7"/>
    <w:rsid w:val="002C2A58"/>
    <w:rsid w:val="002D0AEE"/>
    <w:rsid w:val="002E23FB"/>
    <w:rsid w:val="002F44B7"/>
    <w:rsid w:val="00301A6B"/>
    <w:rsid w:val="00302253"/>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333F"/>
    <w:rsid w:val="003A3D84"/>
    <w:rsid w:val="003A45A9"/>
    <w:rsid w:val="003B39A9"/>
    <w:rsid w:val="003C3AEF"/>
    <w:rsid w:val="003D0846"/>
    <w:rsid w:val="003D10A2"/>
    <w:rsid w:val="003D4C8F"/>
    <w:rsid w:val="003D5EC4"/>
    <w:rsid w:val="003F13B7"/>
    <w:rsid w:val="0040045B"/>
    <w:rsid w:val="004013CA"/>
    <w:rsid w:val="00414C09"/>
    <w:rsid w:val="00426897"/>
    <w:rsid w:val="00427FA8"/>
    <w:rsid w:val="00437729"/>
    <w:rsid w:val="00442CC6"/>
    <w:rsid w:val="00452C00"/>
    <w:rsid w:val="004546DC"/>
    <w:rsid w:val="0046039E"/>
    <w:rsid w:val="00462524"/>
    <w:rsid w:val="00464E8E"/>
    <w:rsid w:val="00466780"/>
    <w:rsid w:val="00474BE2"/>
    <w:rsid w:val="00483BC4"/>
    <w:rsid w:val="00496C43"/>
    <w:rsid w:val="004A0278"/>
    <w:rsid w:val="004A4C62"/>
    <w:rsid w:val="004A5D34"/>
    <w:rsid w:val="004B1C50"/>
    <w:rsid w:val="004B3A7E"/>
    <w:rsid w:val="004B505D"/>
    <w:rsid w:val="004B69E4"/>
    <w:rsid w:val="004D2024"/>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673A"/>
    <w:rsid w:val="00717161"/>
    <w:rsid w:val="0072442F"/>
    <w:rsid w:val="00726A43"/>
    <w:rsid w:val="00731933"/>
    <w:rsid w:val="0073772C"/>
    <w:rsid w:val="007415BD"/>
    <w:rsid w:val="00742C32"/>
    <w:rsid w:val="00744941"/>
    <w:rsid w:val="00782E7C"/>
    <w:rsid w:val="007914E4"/>
    <w:rsid w:val="007928C2"/>
    <w:rsid w:val="00792B24"/>
    <w:rsid w:val="0079309A"/>
    <w:rsid w:val="007938E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1678"/>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44AAF"/>
    <w:rsid w:val="00961B39"/>
    <w:rsid w:val="009676DB"/>
    <w:rsid w:val="0097461E"/>
    <w:rsid w:val="00986D0E"/>
    <w:rsid w:val="00987C14"/>
    <w:rsid w:val="00995130"/>
    <w:rsid w:val="009A0F1B"/>
    <w:rsid w:val="009A11FC"/>
    <w:rsid w:val="009B309C"/>
    <w:rsid w:val="009B6546"/>
    <w:rsid w:val="009C25FE"/>
    <w:rsid w:val="009D5FD1"/>
    <w:rsid w:val="009D5FE0"/>
    <w:rsid w:val="009D6FCF"/>
    <w:rsid w:val="009D7FEE"/>
    <w:rsid w:val="009E01A3"/>
    <w:rsid w:val="009E7D31"/>
    <w:rsid w:val="009F58BB"/>
    <w:rsid w:val="00A06AD7"/>
    <w:rsid w:val="00A10F81"/>
    <w:rsid w:val="00A11761"/>
    <w:rsid w:val="00A13C4C"/>
    <w:rsid w:val="00A15D7E"/>
    <w:rsid w:val="00A202A0"/>
    <w:rsid w:val="00A20AF9"/>
    <w:rsid w:val="00A22C93"/>
    <w:rsid w:val="00A350FA"/>
    <w:rsid w:val="00A35581"/>
    <w:rsid w:val="00A458B5"/>
    <w:rsid w:val="00A50351"/>
    <w:rsid w:val="00A51111"/>
    <w:rsid w:val="00A620D5"/>
    <w:rsid w:val="00A623C2"/>
    <w:rsid w:val="00A67DB2"/>
    <w:rsid w:val="00A8162A"/>
    <w:rsid w:val="00A82562"/>
    <w:rsid w:val="00A83AE6"/>
    <w:rsid w:val="00A83B35"/>
    <w:rsid w:val="00A92C9A"/>
    <w:rsid w:val="00A945F1"/>
    <w:rsid w:val="00A95090"/>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5793"/>
    <w:rsid w:val="00B2739B"/>
    <w:rsid w:val="00B343D4"/>
    <w:rsid w:val="00B37000"/>
    <w:rsid w:val="00B54AD2"/>
    <w:rsid w:val="00B60673"/>
    <w:rsid w:val="00B63C03"/>
    <w:rsid w:val="00B7455C"/>
    <w:rsid w:val="00B75ABE"/>
    <w:rsid w:val="00B76E24"/>
    <w:rsid w:val="00B96110"/>
    <w:rsid w:val="00B9701C"/>
    <w:rsid w:val="00BA15B2"/>
    <w:rsid w:val="00BA29D9"/>
    <w:rsid w:val="00BA2B44"/>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C9A"/>
    <w:rsid w:val="00CF3EBB"/>
    <w:rsid w:val="00D00447"/>
    <w:rsid w:val="00D04C0B"/>
    <w:rsid w:val="00D12D6F"/>
    <w:rsid w:val="00D12FD3"/>
    <w:rsid w:val="00D20CA5"/>
    <w:rsid w:val="00D27AA4"/>
    <w:rsid w:val="00D36239"/>
    <w:rsid w:val="00D425CA"/>
    <w:rsid w:val="00D4595C"/>
    <w:rsid w:val="00D46DC9"/>
    <w:rsid w:val="00D47735"/>
    <w:rsid w:val="00D63D63"/>
    <w:rsid w:val="00D67973"/>
    <w:rsid w:val="00D832A1"/>
    <w:rsid w:val="00D84B78"/>
    <w:rsid w:val="00D85599"/>
    <w:rsid w:val="00D9266E"/>
    <w:rsid w:val="00D9511E"/>
    <w:rsid w:val="00D960B0"/>
    <w:rsid w:val="00DB10D6"/>
    <w:rsid w:val="00DB3D19"/>
    <w:rsid w:val="00DB69A9"/>
    <w:rsid w:val="00DD62E9"/>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76D2"/>
    <w:rsid w:val="00F2797C"/>
    <w:rsid w:val="00F327C3"/>
    <w:rsid w:val="00F3404A"/>
    <w:rsid w:val="00F4778F"/>
    <w:rsid w:val="00F5272E"/>
    <w:rsid w:val="00F55EDB"/>
    <w:rsid w:val="00F609E4"/>
    <w:rsid w:val="00F61AB7"/>
    <w:rsid w:val="00F93B1A"/>
    <w:rsid w:val="00FB4CBA"/>
    <w:rsid w:val="00FC1FE9"/>
    <w:rsid w:val="00FC472D"/>
    <w:rsid w:val="00FC4FDC"/>
    <w:rsid w:val="00FC6010"/>
    <w:rsid w:val="00FD61D4"/>
    <w:rsid w:val="00FD73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5"/>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0"/>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34"/>
    <w:qFormat/>
    <w:rsid w:val="00E86115"/>
    <w:pPr>
      <w:ind w:left="720"/>
    </w:pPr>
    <w:rPr>
      <w:rFonts w:ascii="Calibri" w:eastAsia="Calibri" w:hAnsi="Calibri"/>
      <w:sz w:val="22"/>
      <w:szCs w:val="22"/>
      <w:lang w:eastAsia="en-US"/>
    </w:rPr>
  </w:style>
  <w:style w:type="character" w:styleId="Hypertextovodkaz">
    <w:name w:val="Hyperlink"/>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styleId="Nevyeenzmnka">
    <w:name w:val="Unresolved Mention"/>
    <w:basedOn w:val="Standardnpsmoodstavce"/>
    <w:uiPriority w:val="99"/>
    <w:semiHidden/>
    <w:unhideWhenUsed/>
    <w:rsid w:val="00BA2B44"/>
    <w:rPr>
      <w:color w:val="605E5C"/>
      <w:shd w:val="clear" w:color="auto" w:fill="E1DFDD"/>
    </w:rPr>
  </w:style>
  <w:style w:type="table" w:styleId="Mkatabulky">
    <w:name w:val="Table Grid"/>
    <w:basedOn w:val="Normlntabulka"/>
    <w:uiPriority w:val="39"/>
    <w:rsid w:val="00F5272E"/>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5272E"/>
    <w:rPr>
      <w:sz w:val="24"/>
      <w:szCs w:val="24"/>
    </w:rPr>
  </w:style>
  <w:style w:type="character" w:customStyle="1" w:styleId="ZpatChar">
    <w:name w:val="Zápatí Char"/>
    <w:basedOn w:val="Standardnpsmoodstavce"/>
    <w:link w:val="Zpat"/>
    <w:uiPriority w:val="99"/>
    <w:rsid w:val="00F5272E"/>
    <w:rPr>
      <w:sz w:val="24"/>
      <w:szCs w:val="24"/>
    </w:rPr>
  </w:style>
  <w:style w:type="paragraph" w:customStyle="1" w:styleId="Default">
    <w:name w:val="Default"/>
    <w:rsid w:val="00F5272E"/>
    <w:pPr>
      <w:autoSpaceDE w:val="0"/>
      <w:autoSpaceDN w:val="0"/>
      <w:adjustRightInd w:val="0"/>
    </w:pPr>
    <w:rPr>
      <w:rFonts w:ascii="Calibri" w:eastAsiaTheme="minorHAnsi" w:hAnsi="Calibri" w:cs="Calibri"/>
      <w:color w:val="000000"/>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engp.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ichard.stepan@frengp.cz" TargetMode="Externa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4441</Words>
  <Characters>26203</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30583</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Iva Šumšalová</cp:lastModifiedBy>
  <cp:revision>13</cp:revision>
  <cp:lastPrinted>2013-12-17T15:03:00Z</cp:lastPrinted>
  <dcterms:created xsi:type="dcterms:W3CDTF">2025-12-10T14:08:00Z</dcterms:created>
  <dcterms:modified xsi:type="dcterms:W3CDTF">2025-12-11T11:45:00Z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